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493" w:rsidRPr="00F871E6" w:rsidRDefault="00A1391B" w:rsidP="00D44493">
      <w:pPr>
        <w:pStyle w:val="Textoindependiente"/>
        <w:widowControl w:val="0"/>
        <w:tabs>
          <w:tab w:val="left" w:pos="2410"/>
          <w:tab w:val="left" w:pos="3402"/>
          <w:tab w:val="left" w:pos="6379"/>
          <w:tab w:val="left" w:pos="6946"/>
        </w:tabs>
        <w:suppressAutoHyphens/>
        <w:spacing w:after="0" w:line="240" w:lineRule="auto"/>
        <w:ind w:left="3402" w:right="2125" w:hanging="992"/>
        <w:jc w:val="both"/>
        <w:rPr>
          <w:rFonts w:ascii="Tahoma" w:hAnsi="Tahoma" w:cs="Tahoma"/>
          <w:i/>
          <w:sz w:val="20"/>
          <w:szCs w:val="20"/>
          <w:lang w:val="es-PE"/>
        </w:rPr>
      </w:pPr>
      <w:r w:rsidRPr="005C3F5D">
        <w:rPr>
          <w:rFonts w:ascii="Tahoma" w:hAnsi="Tahoma" w:cs="Tahoma"/>
          <w:b/>
          <w:i/>
          <w:sz w:val="20"/>
          <w:szCs w:val="20"/>
        </w:rPr>
        <w:t>Sumilla:</w:t>
      </w:r>
      <w:r w:rsidR="00D44493">
        <w:rPr>
          <w:rFonts w:ascii="Tahoma" w:hAnsi="Tahoma" w:cs="Tahoma"/>
          <w:b/>
          <w:i/>
          <w:sz w:val="20"/>
          <w:szCs w:val="20"/>
        </w:rPr>
        <w:t xml:space="preserve"> </w:t>
      </w:r>
      <w:r w:rsidRPr="005C3F5D">
        <w:rPr>
          <w:rFonts w:ascii="Tahoma" w:hAnsi="Tahoma" w:cs="Tahoma"/>
          <w:b/>
          <w:i/>
          <w:sz w:val="20"/>
          <w:szCs w:val="20"/>
        </w:rPr>
        <w:t xml:space="preserve"> </w:t>
      </w:r>
      <w:r w:rsidR="00D44493" w:rsidRPr="00F871E6">
        <w:rPr>
          <w:rFonts w:ascii="Tahoma" w:hAnsi="Tahoma" w:cs="Tahoma"/>
          <w:i/>
          <w:sz w:val="20"/>
          <w:szCs w:val="20"/>
        </w:rPr>
        <w:t xml:space="preserve">El procedimiento para suscribir el contrato ha sido previsto en el numeral 1) del artículo 148 del Reglamento, el cual dispone que </w:t>
      </w:r>
      <w:r w:rsidR="00D44493" w:rsidRPr="00F871E6">
        <w:rPr>
          <w:rFonts w:ascii="Tahoma" w:hAnsi="Tahoma" w:cs="Tahoma"/>
          <w:bCs/>
          <w:i/>
          <w:sz w:val="20"/>
          <w:szCs w:val="20"/>
        </w:rPr>
        <w:t>dentro de los dos días hábiles siguientes al consentimiento de la buena pro, la Entidad deberá citar al postor ganador</w:t>
      </w:r>
      <w:r w:rsidR="00D44493" w:rsidRPr="00F871E6">
        <w:rPr>
          <w:rFonts w:ascii="Tahoma" w:hAnsi="Tahoma" w:cs="Tahoma"/>
          <w:i/>
          <w:sz w:val="20"/>
          <w:szCs w:val="20"/>
        </w:rPr>
        <w:t xml:space="preserve">, </w:t>
      </w:r>
      <w:r w:rsidR="00D44493" w:rsidRPr="00F871E6">
        <w:rPr>
          <w:rFonts w:ascii="Tahoma" w:hAnsi="Tahoma" w:cs="Tahoma"/>
          <w:bCs/>
          <w:i/>
          <w:sz w:val="20"/>
          <w:szCs w:val="20"/>
        </w:rPr>
        <w:t>otorgándole un plazo mínimo de cinco días hábiles y máximo de diez días hábiles para suscribir el contrato</w:t>
      </w:r>
      <w:r w:rsidR="00D44493" w:rsidRPr="00F871E6">
        <w:rPr>
          <w:rFonts w:ascii="Tahoma" w:hAnsi="Tahoma" w:cs="Tahoma"/>
          <w:i/>
          <w:sz w:val="20"/>
          <w:szCs w:val="20"/>
        </w:rPr>
        <w:t>.</w:t>
      </w:r>
    </w:p>
    <w:p w:rsidR="00A1391B" w:rsidRPr="004D0460" w:rsidRDefault="00A1391B" w:rsidP="00D44493">
      <w:pPr>
        <w:pStyle w:val="Textoindependiente"/>
        <w:widowControl w:val="0"/>
        <w:tabs>
          <w:tab w:val="left" w:pos="2410"/>
          <w:tab w:val="left" w:pos="3828"/>
          <w:tab w:val="left" w:pos="6096"/>
          <w:tab w:val="left" w:pos="6946"/>
        </w:tabs>
        <w:suppressAutoHyphens/>
        <w:spacing w:after="0" w:line="240" w:lineRule="auto"/>
        <w:ind w:left="3686" w:right="2693" w:hanging="992"/>
        <w:jc w:val="both"/>
        <w:rPr>
          <w:rFonts w:ascii="Tahoma" w:hAnsi="Tahoma" w:cs="Tahoma"/>
          <w:b/>
          <w:sz w:val="20"/>
          <w:szCs w:val="20"/>
          <w:lang w:val="es-PE"/>
        </w:rPr>
      </w:pPr>
    </w:p>
    <w:p w:rsidR="00A1391B" w:rsidRPr="005C3F5D" w:rsidRDefault="00A1391B" w:rsidP="00A1391B">
      <w:pPr>
        <w:pStyle w:val="Textoindependiente3"/>
        <w:spacing w:after="0"/>
        <w:ind w:left="4248" w:right="179" w:firstLine="708"/>
        <w:jc w:val="both"/>
        <w:rPr>
          <w:rFonts w:ascii="Tahoma" w:hAnsi="Tahoma" w:cs="Tahoma"/>
          <w:sz w:val="20"/>
          <w:szCs w:val="20"/>
        </w:rPr>
      </w:pPr>
      <w:r w:rsidRPr="005C3F5D">
        <w:rPr>
          <w:rFonts w:ascii="Tahoma" w:hAnsi="Tahoma" w:cs="Tahoma"/>
          <w:b/>
          <w:sz w:val="20"/>
          <w:szCs w:val="20"/>
        </w:rPr>
        <w:t>Lima</w:t>
      </w:r>
      <w:r w:rsidRPr="005C3F5D">
        <w:rPr>
          <w:rFonts w:ascii="Tahoma" w:hAnsi="Tahoma" w:cs="Tahoma"/>
          <w:sz w:val="20"/>
          <w:szCs w:val="20"/>
        </w:rPr>
        <w:t xml:space="preserve">, </w:t>
      </w:r>
      <w:r w:rsidR="0093370D">
        <w:rPr>
          <w:rFonts w:ascii="Tahoma" w:hAnsi="Tahoma" w:cs="Tahoma"/>
          <w:sz w:val="20"/>
          <w:szCs w:val="20"/>
        </w:rPr>
        <w:t>10 de Agosto de 2011</w:t>
      </w:r>
    </w:p>
    <w:p w:rsidR="00A1391B" w:rsidRPr="005C3F5D" w:rsidRDefault="00A1391B" w:rsidP="00A1391B">
      <w:pPr>
        <w:pStyle w:val="Textoindependiente3"/>
        <w:spacing w:after="0"/>
        <w:jc w:val="both"/>
        <w:rPr>
          <w:rFonts w:ascii="Tahoma" w:hAnsi="Tahoma" w:cs="Tahoma"/>
          <w:sz w:val="20"/>
          <w:szCs w:val="20"/>
        </w:rPr>
      </w:pPr>
    </w:p>
    <w:p w:rsidR="00A1391B" w:rsidRPr="00D44493" w:rsidRDefault="00A1391B" w:rsidP="00A1391B">
      <w:pPr>
        <w:spacing w:after="0" w:line="240" w:lineRule="auto"/>
        <w:jc w:val="both"/>
        <w:rPr>
          <w:rFonts w:ascii="Tahoma" w:hAnsi="Tahoma" w:cs="Tahoma"/>
          <w:sz w:val="20"/>
          <w:szCs w:val="20"/>
        </w:rPr>
      </w:pPr>
      <w:r w:rsidRPr="005C3F5D">
        <w:rPr>
          <w:rFonts w:ascii="Tahoma" w:hAnsi="Tahoma" w:cs="Tahoma"/>
          <w:b/>
          <w:sz w:val="20"/>
          <w:szCs w:val="20"/>
        </w:rPr>
        <w:t>VISTO</w:t>
      </w:r>
      <w:r w:rsidRPr="005C3F5D">
        <w:rPr>
          <w:rFonts w:ascii="Tahoma" w:hAnsi="Tahoma" w:cs="Tahoma"/>
          <w:sz w:val="20"/>
          <w:szCs w:val="20"/>
        </w:rPr>
        <w:t xml:space="preserve"> en sesión de fecha </w:t>
      </w:r>
      <w:r w:rsidR="00D44493">
        <w:rPr>
          <w:rFonts w:ascii="Tahoma" w:hAnsi="Tahoma" w:cs="Tahoma"/>
          <w:sz w:val="20"/>
          <w:szCs w:val="20"/>
        </w:rPr>
        <w:t>08</w:t>
      </w:r>
      <w:r w:rsidRPr="005C3F5D">
        <w:rPr>
          <w:rFonts w:ascii="Tahoma" w:hAnsi="Tahoma" w:cs="Tahoma"/>
          <w:sz w:val="20"/>
          <w:szCs w:val="20"/>
        </w:rPr>
        <w:t xml:space="preserve"> de </w:t>
      </w:r>
      <w:r w:rsidR="00D44493">
        <w:rPr>
          <w:rFonts w:ascii="Tahoma" w:hAnsi="Tahoma" w:cs="Tahoma"/>
          <w:sz w:val="20"/>
          <w:szCs w:val="20"/>
        </w:rPr>
        <w:t xml:space="preserve">agosto </w:t>
      </w:r>
      <w:r w:rsidRPr="005C3F5D">
        <w:rPr>
          <w:rFonts w:ascii="Tahoma" w:hAnsi="Tahoma" w:cs="Tahoma"/>
          <w:sz w:val="20"/>
          <w:szCs w:val="20"/>
        </w:rPr>
        <w:t xml:space="preserve">de 2011 de la Primera Sala del Tribunal de Contrataciones del Estado el Expediente № </w:t>
      </w:r>
      <w:r w:rsidR="00D44493">
        <w:rPr>
          <w:rFonts w:ascii="Tahoma" w:hAnsi="Tahoma" w:cs="Tahoma"/>
          <w:sz w:val="20"/>
          <w:szCs w:val="20"/>
        </w:rPr>
        <w:t>70</w:t>
      </w:r>
      <w:r w:rsidRPr="005C3F5D">
        <w:rPr>
          <w:rFonts w:ascii="Tahoma" w:hAnsi="Tahoma" w:cs="Tahoma"/>
          <w:sz w:val="20"/>
          <w:szCs w:val="20"/>
        </w:rPr>
        <w:t>/201</w:t>
      </w:r>
      <w:r w:rsidR="00D44493">
        <w:rPr>
          <w:rFonts w:ascii="Tahoma" w:hAnsi="Tahoma" w:cs="Tahoma"/>
          <w:sz w:val="20"/>
          <w:szCs w:val="20"/>
        </w:rPr>
        <w:t>1</w:t>
      </w:r>
      <w:r w:rsidRPr="005C3F5D">
        <w:rPr>
          <w:rFonts w:ascii="Tahoma" w:hAnsi="Tahoma" w:cs="Tahoma"/>
          <w:sz w:val="20"/>
          <w:szCs w:val="20"/>
        </w:rPr>
        <w:t xml:space="preserve">.TC, sobre el procedimiento administrativo sancionador contra </w:t>
      </w:r>
      <w:r w:rsidR="00D44493">
        <w:rPr>
          <w:rFonts w:ascii="Tahoma" w:hAnsi="Tahoma" w:cs="Tahoma"/>
          <w:sz w:val="20"/>
          <w:szCs w:val="20"/>
        </w:rPr>
        <w:t xml:space="preserve">la empresa </w:t>
      </w:r>
      <w:r w:rsidR="00D44493" w:rsidRPr="0018508F">
        <w:rPr>
          <w:rFonts w:ascii="Tahoma" w:hAnsi="Tahoma" w:cs="Tahoma"/>
          <w:sz w:val="20"/>
          <w:szCs w:val="20"/>
        </w:rPr>
        <w:t>Inversiones Brown S.R.L.</w:t>
      </w:r>
      <w:r w:rsidRPr="005C3F5D">
        <w:rPr>
          <w:rFonts w:ascii="Tahoma" w:hAnsi="Tahoma" w:cs="Tahoma"/>
          <w:sz w:val="20"/>
          <w:szCs w:val="20"/>
        </w:rPr>
        <w:t xml:space="preserve">, </w:t>
      </w:r>
      <w:r w:rsidRPr="005C3F5D">
        <w:rPr>
          <w:rFonts w:ascii="Tahoma" w:hAnsi="Tahoma" w:cs="Tahoma"/>
          <w:sz w:val="20"/>
          <w:szCs w:val="20"/>
          <w:lang w:val="es-MX"/>
        </w:rPr>
        <w:t xml:space="preserve">por supuesta responsabilidad en </w:t>
      </w:r>
      <w:r w:rsidR="00D44493">
        <w:rPr>
          <w:rFonts w:ascii="Tahoma" w:hAnsi="Tahoma" w:cs="Tahoma"/>
          <w:sz w:val="20"/>
          <w:szCs w:val="20"/>
          <w:lang w:val="es-MX"/>
        </w:rPr>
        <w:t xml:space="preserve">la no suscripción del contrato derivado de la </w:t>
      </w:r>
      <w:r w:rsidR="00D44493" w:rsidRPr="0018508F">
        <w:rPr>
          <w:rFonts w:ascii="Tahoma" w:hAnsi="Tahoma" w:cs="Tahoma"/>
          <w:sz w:val="20"/>
          <w:szCs w:val="20"/>
        </w:rPr>
        <w:t>Adjudicación Directa Selectiva por Subasta Inversa Electrónica Nº 0018-2010-</w:t>
      </w:r>
      <w:r w:rsidR="00D44493" w:rsidRPr="00D44493">
        <w:rPr>
          <w:rFonts w:ascii="Tahoma" w:hAnsi="Tahoma" w:cs="Tahoma"/>
          <w:sz w:val="20"/>
          <w:szCs w:val="20"/>
        </w:rPr>
        <w:t>PNAD</w:t>
      </w:r>
      <w:r w:rsidR="00D44493">
        <w:rPr>
          <w:rFonts w:ascii="Tahoma" w:hAnsi="Tahoma" w:cs="Tahoma"/>
          <w:sz w:val="20"/>
          <w:szCs w:val="20"/>
        </w:rPr>
        <w:t>,</w:t>
      </w:r>
      <w:r w:rsidRPr="00D44493">
        <w:rPr>
          <w:rFonts w:ascii="Tahoma" w:hAnsi="Tahoma" w:cs="Tahoma"/>
          <w:sz w:val="20"/>
          <w:szCs w:val="20"/>
        </w:rPr>
        <w:t xml:space="preserve"> efectuada por </w:t>
      </w:r>
      <w:r w:rsidR="00D44493" w:rsidRPr="00D44493">
        <w:rPr>
          <w:rFonts w:ascii="Tahoma" w:hAnsi="Tahoma" w:cs="Tahoma"/>
          <w:sz w:val="20"/>
          <w:szCs w:val="20"/>
        </w:rPr>
        <w:t>el Programa Nacional de Apoyo Directo a los Mas Pobres - Juntos</w:t>
      </w:r>
      <w:r w:rsidRPr="00D44493">
        <w:rPr>
          <w:rFonts w:ascii="Tahoma" w:hAnsi="Tahoma" w:cs="Tahoma"/>
          <w:sz w:val="20"/>
          <w:szCs w:val="20"/>
        </w:rPr>
        <w:t xml:space="preserve">, para </w:t>
      </w:r>
      <w:r w:rsidR="00D44493" w:rsidRPr="00D44493">
        <w:rPr>
          <w:rFonts w:ascii="Tahoma" w:hAnsi="Tahoma" w:cs="Tahoma"/>
          <w:sz w:val="20"/>
          <w:szCs w:val="20"/>
        </w:rPr>
        <w:t>el suministro de combustibles gasolina de 90 octanos y petróleo Diesel 2 para la flota vehicular de la sede regional de Ayacucho</w:t>
      </w:r>
      <w:r w:rsidRPr="00D44493">
        <w:rPr>
          <w:rFonts w:ascii="Tahoma" w:hAnsi="Tahoma" w:cs="Tahoma"/>
          <w:sz w:val="20"/>
          <w:szCs w:val="20"/>
          <w:lang w:val="es-PE"/>
        </w:rPr>
        <w:t>; y</w:t>
      </w:r>
      <w:r w:rsidRPr="00D44493">
        <w:rPr>
          <w:rFonts w:ascii="Tahoma" w:hAnsi="Tahoma" w:cs="Tahoma"/>
          <w:sz w:val="20"/>
          <w:szCs w:val="20"/>
        </w:rPr>
        <w:t xml:space="preserve">, atendiendo a los siguientes:   </w:t>
      </w:r>
    </w:p>
    <w:p w:rsidR="00A1391B" w:rsidRPr="005C3F5D" w:rsidRDefault="00A1391B" w:rsidP="00A1391B">
      <w:pPr>
        <w:spacing w:after="0" w:line="240" w:lineRule="auto"/>
        <w:ind w:right="45"/>
        <w:jc w:val="both"/>
        <w:rPr>
          <w:rFonts w:ascii="Tahoma" w:hAnsi="Tahoma" w:cs="Tahoma"/>
          <w:sz w:val="20"/>
          <w:szCs w:val="20"/>
        </w:rPr>
      </w:pPr>
    </w:p>
    <w:p w:rsidR="00A1391B" w:rsidRPr="005C3F5D" w:rsidRDefault="00A1391B" w:rsidP="00A1391B">
      <w:pPr>
        <w:pStyle w:val="Ttulo2"/>
        <w:jc w:val="both"/>
        <w:rPr>
          <w:rFonts w:cs="Tahoma"/>
          <w:sz w:val="20"/>
        </w:rPr>
      </w:pPr>
      <w:r w:rsidRPr="005C3F5D">
        <w:rPr>
          <w:rFonts w:cs="Tahoma"/>
          <w:sz w:val="20"/>
        </w:rPr>
        <w:t>ANTECEDENTES:</w:t>
      </w:r>
    </w:p>
    <w:p w:rsidR="00A1391B" w:rsidRPr="0018508F" w:rsidRDefault="00A1391B" w:rsidP="00A1391B">
      <w:pPr>
        <w:spacing w:after="0" w:line="240" w:lineRule="auto"/>
        <w:jc w:val="both"/>
        <w:rPr>
          <w:rFonts w:ascii="Tahoma" w:hAnsi="Tahoma" w:cs="Tahoma"/>
          <w:sz w:val="20"/>
          <w:szCs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 xml:space="preserve">El 19 de octubre de 2010, el Programa Nacional de Apoyo Directo a los Mas Pobres - Juntos, en adelante la Entidad, convocó a la Adjudicación Directa Selectiva por Subasta Inversa Electrónica Nº 0018-2010-PNAD, para el suministro de combustibles gasolina de 90 octanos y petróleo Diesel 2 para la flota vehicular de la sede regional de Ayacucho, con un valor referencial de S/. 84, 195.60 Nuevos Soles. </w:t>
      </w:r>
    </w:p>
    <w:p w:rsidR="00A1391B" w:rsidRPr="0018508F" w:rsidRDefault="00A1391B" w:rsidP="00A1391B">
      <w:pPr>
        <w:spacing w:after="0" w:line="240" w:lineRule="auto"/>
        <w:ind w:left="540"/>
        <w:jc w:val="both"/>
        <w:rPr>
          <w:rFonts w:ascii="Tahoma" w:hAnsi="Tahoma" w:cs="Tahoma"/>
          <w:sz w:val="20"/>
          <w:szCs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El 29 de octubre de 2010, se realizó el Acta de Apertura de Propuestas, Periodo de Lances y otorgamiento de la Buena Pro, participando en los ítems Nº 1 y 2 los siguientes postores: Pillaca Garaundo Nelly, Inversiones Brown S.R.L., y Negociaciones Cruz de Chalpon S.A.C.</w:t>
      </w:r>
    </w:p>
    <w:p w:rsidR="00A1391B" w:rsidRPr="0018508F" w:rsidRDefault="00A1391B" w:rsidP="00A1391B">
      <w:pPr>
        <w:pStyle w:val="Prrafodelista"/>
        <w:rPr>
          <w:rFonts w:ascii="Tahoma" w:hAnsi="Tahoma" w:cs="Tahoma"/>
          <w:sz w:val="20"/>
        </w:rPr>
      </w:pPr>
    </w:p>
    <w:p w:rsidR="00A1391B" w:rsidRPr="0018508F" w:rsidRDefault="00A1391B" w:rsidP="00A1391B">
      <w:pPr>
        <w:spacing w:after="0" w:line="240" w:lineRule="auto"/>
        <w:ind w:left="540"/>
        <w:jc w:val="both"/>
        <w:rPr>
          <w:rFonts w:ascii="Tahoma" w:hAnsi="Tahoma" w:cs="Tahoma"/>
          <w:sz w:val="20"/>
          <w:szCs w:val="20"/>
        </w:rPr>
      </w:pPr>
      <w:r w:rsidRPr="0018508F">
        <w:rPr>
          <w:rFonts w:ascii="Tahoma" w:hAnsi="Tahoma" w:cs="Tahoma"/>
          <w:sz w:val="20"/>
          <w:szCs w:val="20"/>
        </w:rPr>
        <w:t>En la misma fecha, se otorgó la buena pro respecto de los ítems Nº 1 y 2 a la empresa Inversiones Brown S.R.L., en adelante el Postor.</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Con Oficio Nº 697-2010-PCM/PNADP-UGA de fecha 09 de noviembre de 2010, notificado el 10 del mismo mes, la Entidad comunicó al postor que se había consentido el otorgamiento de la buena pro,  por lo que debía apersonarse para la firma del contrato en un plazo no mayor a diez días hábiles.</w:t>
      </w:r>
    </w:p>
    <w:p w:rsidR="00A1391B" w:rsidRPr="0018508F" w:rsidRDefault="00A1391B" w:rsidP="00A1391B">
      <w:pPr>
        <w:spacing w:after="0" w:line="240" w:lineRule="auto"/>
        <w:ind w:left="540"/>
        <w:jc w:val="both"/>
        <w:rPr>
          <w:rFonts w:ascii="Tahoma" w:hAnsi="Tahoma" w:cs="Tahoma"/>
          <w:sz w:val="20"/>
          <w:szCs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Con escrito de fecha 15 de noviembre de 2010, el Postor  indicó a la Entidad lo siguiente:</w:t>
      </w:r>
    </w:p>
    <w:p w:rsidR="00A1391B" w:rsidRPr="0018508F" w:rsidRDefault="00A1391B" w:rsidP="00A1391B">
      <w:pPr>
        <w:pStyle w:val="Prrafodelista"/>
        <w:rPr>
          <w:rFonts w:ascii="Tahoma" w:hAnsi="Tahoma" w:cs="Tahoma"/>
          <w:sz w:val="20"/>
        </w:rPr>
      </w:pPr>
    </w:p>
    <w:p w:rsidR="00A1391B" w:rsidRPr="0018508F" w:rsidRDefault="00A1391B" w:rsidP="00A1391B">
      <w:pPr>
        <w:pStyle w:val="Prrafodelista"/>
        <w:widowControl/>
        <w:numPr>
          <w:ilvl w:val="0"/>
          <w:numId w:val="8"/>
        </w:numPr>
        <w:suppressAutoHyphens w:val="0"/>
        <w:jc w:val="both"/>
        <w:rPr>
          <w:rFonts w:ascii="Tahoma" w:hAnsi="Tahoma" w:cs="Tahoma"/>
          <w:sz w:val="20"/>
        </w:rPr>
      </w:pPr>
      <w:r w:rsidRPr="0018508F">
        <w:rPr>
          <w:rFonts w:ascii="Tahoma" w:hAnsi="Tahoma" w:cs="Tahoma"/>
          <w:sz w:val="20"/>
        </w:rPr>
        <w:lastRenderedPageBreak/>
        <w:t>En lo que concierne al Ítem Nº 02 Petróleos Diesel 2, se ha cometido un error involuntario al digitar el ultimo lance electrónico en la última etapa de mejora de precios, pues en lugar de digitar el número 9 en la posición numérica que corresponde a las unidades de millar, se ha digitado erróneamente el numero 6, resultando un lance electrónico también errado de S/. 16, 560.00 cuando lo correcto era  S/. 19, 560.00  por lo que dicha propuesta no representa la voluntad ni el precio real de la oferta.</w:t>
      </w:r>
    </w:p>
    <w:p w:rsidR="00A1391B" w:rsidRPr="0018508F" w:rsidRDefault="00A1391B" w:rsidP="00A1391B">
      <w:pPr>
        <w:pStyle w:val="Prrafodelista"/>
        <w:ind w:left="1440"/>
        <w:jc w:val="both"/>
        <w:rPr>
          <w:rFonts w:ascii="Tahoma" w:hAnsi="Tahoma" w:cs="Tahoma"/>
          <w:sz w:val="20"/>
        </w:rPr>
      </w:pPr>
    </w:p>
    <w:p w:rsidR="00A1391B" w:rsidRPr="0018508F" w:rsidRDefault="00A1391B" w:rsidP="00A1391B">
      <w:pPr>
        <w:pStyle w:val="Prrafodelista"/>
        <w:widowControl/>
        <w:numPr>
          <w:ilvl w:val="0"/>
          <w:numId w:val="8"/>
        </w:numPr>
        <w:suppressAutoHyphens w:val="0"/>
        <w:jc w:val="both"/>
        <w:rPr>
          <w:rFonts w:ascii="Tahoma" w:hAnsi="Tahoma" w:cs="Tahoma"/>
          <w:sz w:val="20"/>
        </w:rPr>
      </w:pPr>
      <w:r w:rsidRPr="0018508F">
        <w:rPr>
          <w:rFonts w:ascii="Tahoma" w:hAnsi="Tahoma" w:cs="Tahoma"/>
          <w:sz w:val="20"/>
        </w:rPr>
        <w:t>Luego de cometido el error, no se pudo revertir la situación, toda vez que el periodo de lances culminó y no existen herramientas que permitiera</w:t>
      </w:r>
      <w:r>
        <w:rPr>
          <w:rFonts w:ascii="Tahoma" w:hAnsi="Tahoma" w:cs="Tahoma"/>
          <w:sz w:val="20"/>
        </w:rPr>
        <w:t>n</w:t>
      </w:r>
      <w:r w:rsidRPr="0018508F">
        <w:rPr>
          <w:rFonts w:ascii="Tahoma" w:hAnsi="Tahoma" w:cs="Tahoma"/>
          <w:sz w:val="20"/>
        </w:rPr>
        <w:t xml:space="preserve"> modifica</w:t>
      </w:r>
      <w:r>
        <w:rPr>
          <w:rFonts w:ascii="Tahoma" w:hAnsi="Tahoma" w:cs="Tahoma"/>
          <w:sz w:val="20"/>
        </w:rPr>
        <w:t>r</w:t>
      </w:r>
      <w:r w:rsidRPr="0018508F">
        <w:rPr>
          <w:rFonts w:ascii="Tahoma" w:hAnsi="Tahoma" w:cs="Tahoma"/>
          <w:sz w:val="20"/>
        </w:rPr>
        <w:t xml:space="preserve"> el referido error.</w:t>
      </w:r>
    </w:p>
    <w:p w:rsidR="00A1391B" w:rsidRPr="0018508F" w:rsidRDefault="00A1391B" w:rsidP="00A1391B">
      <w:pPr>
        <w:pStyle w:val="Prrafodelista"/>
        <w:rPr>
          <w:rFonts w:ascii="Tahoma" w:hAnsi="Tahoma" w:cs="Tahoma"/>
          <w:sz w:val="20"/>
        </w:rPr>
      </w:pPr>
    </w:p>
    <w:p w:rsidR="00A1391B" w:rsidRPr="0018508F" w:rsidRDefault="00A1391B" w:rsidP="00A1391B">
      <w:pPr>
        <w:pStyle w:val="Prrafodelista"/>
        <w:widowControl/>
        <w:numPr>
          <w:ilvl w:val="0"/>
          <w:numId w:val="8"/>
        </w:numPr>
        <w:suppressAutoHyphens w:val="0"/>
        <w:jc w:val="both"/>
        <w:rPr>
          <w:rFonts w:ascii="Tahoma" w:hAnsi="Tahoma" w:cs="Tahoma"/>
          <w:sz w:val="20"/>
        </w:rPr>
      </w:pPr>
      <w:r w:rsidRPr="0018508F">
        <w:rPr>
          <w:rFonts w:ascii="Tahoma" w:hAnsi="Tahoma" w:cs="Tahoma"/>
          <w:sz w:val="20"/>
        </w:rPr>
        <w:t>Conforme la propuesta electrónica errada, se puede apreciar que el precio por galón ascendería a S/. 9.20 nuevos soles por debajo del precio actual de planta, lo que resultaría prejudicial para la empresa.</w:t>
      </w:r>
    </w:p>
    <w:p w:rsidR="00A1391B" w:rsidRPr="0018508F" w:rsidRDefault="00A1391B" w:rsidP="00A1391B">
      <w:pPr>
        <w:pStyle w:val="Prrafodelista"/>
        <w:rPr>
          <w:rFonts w:ascii="Tahoma" w:hAnsi="Tahoma" w:cs="Tahoma"/>
          <w:sz w:val="20"/>
        </w:rPr>
      </w:pPr>
    </w:p>
    <w:p w:rsidR="00A1391B" w:rsidRPr="0018508F" w:rsidRDefault="00A1391B" w:rsidP="00A1391B">
      <w:pPr>
        <w:pStyle w:val="Prrafodelista"/>
        <w:widowControl/>
        <w:numPr>
          <w:ilvl w:val="0"/>
          <w:numId w:val="8"/>
        </w:numPr>
        <w:suppressAutoHyphens w:val="0"/>
        <w:jc w:val="both"/>
        <w:rPr>
          <w:rFonts w:ascii="Tahoma" w:hAnsi="Tahoma" w:cs="Tahoma"/>
          <w:sz w:val="20"/>
        </w:rPr>
      </w:pPr>
      <w:r w:rsidRPr="0018508F">
        <w:rPr>
          <w:rFonts w:ascii="Tahoma" w:hAnsi="Tahoma" w:cs="Tahoma"/>
          <w:sz w:val="20"/>
        </w:rPr>
        <w:t>El Postor adquiere el Petróleo Diesel 2 a la Planta en un precio de S/. 10.08 incluido el IGV y sumado a los demás costos de flete y precepción resulta un precio real de S/. 10.68.</w:t>
      </w:r>
    </w:p>
    <w:p w:rsidR="00A1391B" w:rsidRPr="0018508F" w:rsidRDefault="00A1391B" w:rsidP="00A1391B">
      <w:pPr>
        <w:pStyle w:val="Prrafodelista"/>
        <w:rPr>
          <w:rFonts w:ascii="Tahoma" w:hAnsi="Tahoma" w:cs="Tahoma"/>
          <w:sz w:val="20"/>
        </w:rPr>
      </w:pPr>
    </w:p>
    <w:p w:rsidR="00A1391B" w:rsidRPr="0018508F" w:rsidRDefault="00A1391B" w:rsidP="00A1391B">
      <w:pPr>
        <w:pStyle w:val="Prrafodelista"/>
        <w:widowControl/>
        <w:numPr>
          <w:ilvl w:val="0"/>
          <w:numId w:val="8"/>
        </w:numPr>
        <w:suppressAutoHyphens w:val="0"/>
        <w:jc w:val="both"/>
        <w:rPr>
          <w:rFonts w:ascii="Tahoma" w:hAnsi="Tahoma" w:cs="Tahoma"/>
          <w:sz w:val="20"/>
        </w:rPr>
      </w:pPr>
      <w:r w:rsidRPr="0018508F">
        <w:rPr>
          <w:rFonts w:ascii="Tahoma" w:hAnsi="Tahoma" w:cs="Tahoma"/>
          <w:sz w:val="20"/>
        </w:rPr>
        <w:t>De lo señalado, se ocasionaría que el Postor adquiera el galón  de petróleo a S/. 10.68 para vender a la Entidad a S/. 9.20, lo cual resultaría irrazonable y prejudicial contra la empresa.</w:t>
      </w:r>
    </w:p>
    <w:p w:rsidR="00A1391B" w:rsidRPr="0018508F" w:rsidRDefault="00A1391B" w:rsidP="00A1391B">
      <w:pPr>
        <w:pStyle w:val="Prrafodelista"/>
        <w:rPr>
          <w:rFonts w:ascii="Tahoma" w:hAnsi="Tahoma" w:cs="Tahoma"/>
          <w:sz w:val="20"/>
        </w:rPr>
      </w:pPr>
    </w:p>
    <w:p w:rsidR="00A1391B" w:rsidRPr="0018508F" w:rsidRDefault="00A1391B" w:rsidP="00A1391B">
      <w:pPr>
        <w:pStyle w:val="Prrafodelista"/>
        <w:widowControl/>
        <w:numPr>
          <w:ilvl w:val="0"/>
          <w:numId w:val="8"/>
        </w:numPr>
        <w:suppressAutoHyphens w:val="0"/>
        <w:jc w:val="both"/>
        <w:rPr>
          <w:rFonts w:ascii="Tahoma" w:hAnsi="Tahoma" w:cs="Tahoma"/>
          <w:sz w:val="20"/>
        </w:rPr>
      </w:pPr>
      <w:r w:rsidRPr="0018508F">
        <w:rPr>
          <w:rFonts w:ascii="Tahoma" w:hAnsi="Tahoma" w:cs="Tahoma"/>
          <w:sz w:val="20"/>
        </w:rPr>
        <w:t>Por los argumentos expuestos, se comunicó que renunciaba al otorgamiento de la buena pro.</w:t>
      </w:r>
    </w:p>
    <w:p w:rsidR="00A1391B" w:rsidRPr="0018508F" w:rsidRDefault="00A1391B" w:rsidP="00A1391B">
      <w:pPr>
        <w:spacing w:after="0" w:line="240" w:lineRule="auto"/>
        <w:ind w:left="540"/>
        <w:jc w:val="both"/>
        <w:rPr>
          <w:rFonts w:ascii="Tahoma" w:hAnsi="Tahoma" w:cs="Tahoma"/>
          <w:sz w:val="20"/>
          <w:szCs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El 26 de noviembre de 2010, se dispuso realizar el otorgamiento de buena pro del ítem Nº 2 a favor de la Sra Nelly Pillaca Garaundo.</w:t>
      </w:r>
    </w:p>
    <w:p w:rsidR="00A1391B" w:rsidRPr="0018508F" w:rsidRDefault="00A1391B" w:rsidP="00A1391B">
      <w:pPr>
        <w:spacing w:after="0" w:line="240" w:lineRule="auto"/>
        <w:ind w:left="540"/>
        <w:jc w:val="both"/>
        <w:rPr>
          <w:rFonts w:ascii="Tahoma" w:hAnsi="Tahoma" w:cs="Tahoma"/>
          <w:sz w:val="20"/>
          <w:szCs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Mediante Oficio Nº 015-2011-PCM/PNADP-DE de fecha 14 de enero de 2011, la Entidad puso en conocimiento de este Colegiado los hechos expuestos.</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Por Decreto del 19 de enero de 2011, debidamente notificado el 21 de junio de 2011, el Tribunal inició procedimiento administrativo sancionador al Postor por supuesta responsabilidad en no haber suscrito el Contrato derivado de la Adjudicación Directa Selectiva por Subasta Inversa Electrónica Nº 0018-2010-PNAD, infracción tipificada en el numeral 1) literal a) del artículo 51 de la Ley y 237 del Reglamento. En atención a ello, se le emplazó para que formule sus descargos dentro del plazo de diez (10) días hábiles, bajo apercibimiento de resolverse con la documentación obrante en autos.</w:t>
      </w:r>
    </w:p>
    <w:p w:rsidR="00A1391B" w:rsidRPr="0018508F" w:rsidRDefault="00A1391B" w:rsidP="00A1391B">
      <w:pPr>
        <w:pStyle w:val="Prrafodelista"/>
        <w:jc w:val="both"/>
        <w:rPr>
          <w:rFonts w:ascii="Tahoma" w:hAnsi="Tahoma" w:cs="Tahoma"/>
          <w:sz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Mediante escrito de fecha 05 de julio de 2011, el Postor presentó sus descargos en los siguientes términos:</w:t>
      </w:r>
    </w:p>
    <w:p w:rsidR="00A1391B" w:rsidRPr="0018508F" w:rsidRDefault="00A1391B" w:rsidP="00A1391B">
      <w:pPr>
        <w:pStyle w:val="Prrafodelista"/>
        <w:jc w:val="both"/>
        <w:rPr>
          <w:rFonts w:ascii="Tahoma" w:hAnsi="Tahoma" w:cs="Tahoma"/>
          <w:sz w:val="20"/>
        </w:rPr>
      </w:pPr>
    </w:p>
    <w:p w:rsidR="00A1391B" w:rsidRPr="0018508F" w:rsidRDefault="00A1391B" w:rsidP="00A1391B">
      <w:pPr>
        <w:pStyle w:val="Prrafodelista"/>
        <w:widowControl/>
        <w:numPr>
          <w:ilvl w:val="0"/>
          <w:numId w:val="7"/>
        </w:numPr>
        <w:suppressAutoHyphens w:val="0"/>
        <w:ind w:left="1418" w:hanging="284"/>
        <w:jc w:val="both"/>
        <w:rPr>
          <w:rFonts w:ascii="Tahoma" w:hAnsi="Tahoma" w:cs="Tahoma"/>
          <w:sz w:val="20"/>
        </w:rPr>
      </w:pPr>
      <w:r w:rsidRPr="0018508F">
        <w:rPr>
          <w:rFonts w:ascii="Tahoma" w:hAnsi="Tahoma" w:cs="Tahoma"/>
          <w:sz w:val="20"/>
        </w:rPr>
        <w:t>Respecto al precio del combustible Diesel 2, la trabajadora encargada de los lances cometió un erro</w:t>
      </w:r>
      <w:r>
        <w:rPr>
          <w:rFonts w:ascii="Tahoma" w:hAnsi="Tahoma" w:cs="Tahoma"/>
          <w:sz w:val="20"/>
        </w:rPr>
        <w:t>r</w:t>
      </w:r>
      <w:r w:rsidRPr="0018508F">
        <w:rPr>
          <w:rFonts w:ascii="Tahoma" w:hAnsi="Tahoma" w:cs="Tahoma"/>
          <w:sz w:val="20"/>
        </w:rPr>
        <w:t xml:space="preserve"> involuntario al digitar el precio final, consignándolo por debajo del precio real del mercado, es decir, menor al precio de compra o cotización; por dicho motivo se renunció a la buena pro y a la firma del contrato.</w:t>
      </w:r>
    </w:p>
    <w:p w:rsidR="00A1391B" w:rsidRPr="0018508F" w:rsidRDefault="00A1391B" w:rsidP="00A1391B">
      <w:pPr>
        <w:pStyle w:val="Prrafodelista"/>
        <w:ind w:left="1418"/>
        <w:jc w:val="both"/>
        <w:rPr>
          <w:rFonts w:ascii="Tahoma" w:hAnsi="Tahoma" w:cs="Tahoma"/>
          <w:sz w:val="20"/>
        </w:rPr>
      </w:pPr>
    </w:p>
    <w:p w:rsidR="00A1391B" w:rsidRPr="0018508F" w:rsidRDefault="00A1391B" w:rsidP="00A1391B">
      <w:pPr>
        <w:pStyle w:val="Prrafodelista"/>
        <w:widowControl/>
        <w:numPr>
          <w:ilvl w:val="0"/>
          <w:numId w:val="7"/>
        </w:numPr>
        <w:suppressAutoHyphens w:val="0"/>
        <w:ind w:left="1418" w:hanging="284"/>
        <w:jc w:val="both"/>
        <w:rPr>
          <w:rFonts w:ascii="Tahoma" w:hAnsi="Tahoma" w:cs="Tahoma"/>
          <w:sz w:val="20"/>
        </w:rPr>
      </w:pPr>
      <w:r w:rsidRPr="0018508F">
        <w:rPr>
          <w:rFonts w:ascii="Tahoma" w:hAnsi="Tahoma" w:cs="Tahoma"/>
          <w:sz w:val="20"/>
        </w:rPr>
        <w:lastRenderedPageBreak/>
        <w:t xml:space="preserve">Se acredita que el valor de compra es menor al del mercado con la constancia entregada por Petro América </w:t>
      </w:r>
      <w:r>
        <w:rPr>
          <w:rFonts w:ascii="Tahoma" w:hAnsi="Tahoma" w:cs="Tahoma"/>
          <w:sz w:val="20"/>
        </w:rPr>
        <w:t>S.A.</w:t>
      </w:r>
      <w:r w:rsidRPr="0018508F">
        <w:rPr>
          <w:rFonts w:ascii="Tahoma" w:hAnsi="Tahoma" w:cs="Tahoma"/>
          <w:sz w:val="20"/>
        </w:rPr>
        <w:t xml:space="preserve"> en la que se indica el precio por galón. </w:t>
      </w:r>
    </w:p>
    <w:p w:rsidR="00A1391B" w:rsidRPr="0018508F" w:rsidRDefault="00A1391B" w:rsidP="00A1391B">
      <w:pPr>
        <w:pStyle w:val="Prrafodelista"/>
        <w:rPr>
          <w:rFonts w:ascii="Tahoma" w:hAnsi="Tahoma" w:cs="Tahoma"/>
          <w:sz w:val="20"/>
        </w:rPr>
      </w:pPr>
    </w:p>
    <w:p w:rsidR="00A1391B" w:rsidRPr="0018508F" w:rsidRDefault="00A1391B" w:rsidP="00A1391B">
      <w:pPr>
        <w:pStyle w:val="Prrafodelista"/>
        <w:widowControl/>
        <w:numPr>
          <w:ilvl w:val="0"/>
          <w:numId w:val="7"/>
        </w:numPr>
        <w:suppressAutoHyphens w:val="0"/>
        <w:ind w:left="1418" w:hanging="284"/>
        <w:jc w:val="both"/>
        <w:rPr>
          <w:rFonts w:ascii="Tahoma" w:hAnsi="Tahoma" w:cs="Tahoma"/>
          <w:sz w:val="20"/>
        </w:rPr>
      </w:pPr>
      <w:r w:rsidRPr="0018508F">
        <w:rPr>
          <w:rFonts w:ascii="Tahoma" w:hAnsi="Tahoma" w:cs="Tahoma"/>
          <w:sz w:val="20"/>
        </w:rPr>
        <w:t>Se solicita no se aplique sanción administrativa por un error al momento de elaborar la oferta.</w:t>
      </w:r>
    </w:p>
    <w:p w:rsidR="00A1391B" w:rsidRPr="0018508F" w:rsidRDefault="00A1391B" w:rsidP="00A1391B">
      <w:pPr>
        <w:pStyle w:val="Prrafodelista"/>
        <w:ind w:left="1418"/>
        <w:jc w:val="both"/>
        <w:rPr>
          <w:rFonts w:ascii="Tahoma" w:hAnsi="Tahoma" w:cs="Tahoma"/>
          <w:sz w:val="20"/>
        </w:rPr>
      </w:pPr>
    </w:p>
    <w:p w:rsidR="00A1391B" w:rsidRPr="0018508F" w:rsidRDefault="00A1391B" w:rsidP="00A1391B">
      <w:pPr>
        <w:numPr>
          <w:ilvl w:val="0"/>
          <w:numId w:val="6"/>
        </w:numPr>
        <w:tabs>
          <w:tab w:val="num" w:pos="540"/>
        </w:tabs>
        <w:spacing w:after="0" w:line="240" w:lineRule="auto"/>
        <w:ind w:left="540" w:hanging="540"/>
        <w:jc w:val="both"/>
        <w:rPr>
          <w:rFonts w:ascii="Tahoma" w:hAnsi="Tahoma" w:cs="Tahoma"/>
          <w:sz w:val="20"/>
          <w:szCs w:val="20"/>
        </w:rPr>
      </w:pPr>
      <w:r w:rsidRPr="0018508F">
        <w:rPr>
          <w:rFonts w:ascii="Tahoma" w:hAnsi="Tahoma" w:cs="Tahoma"/>
          <w:sz w:val="20"/>
          <w:szCs w:val="20"/>
        </w:rPr>
        <w:t>Por decreto de fecha 12 de julio de 2011, el Tribunal tuvo por apersonado al Postor, por presentado</w:t>
      </w:r>
      <w:r>
        <w:rPr>
          <w:rFonts w:ascii="Tahoma" w:hAnsi="Tahoma" w:cs="Tahoma"/>
          <w:sz w:val="20"/>
          <w:szCs w:val="20"/>
        </w:rPr>
        <w:t>s</w:t>
      </w:r>
      <w:r w:rsidRPr="0018508F">
        <w:rPr>
          <w:rFonts w:ascii="Tahoma" w:hAnsi="Tahoma" w:cs="Tahoma"/>
          <w:sz w:val="20"/>
          <w:szCs w:val="20"/>
        </w:rPr>
        <w:t xml:space="preserve"> sus descargos, por señalado su domicilio procesal, sito en: Jr. Olmos Nº 387 Ate – Lima; y Asimismo, se remitió el expediente a la Primera Sala del Tribunal para que continúe con el procedimiento según su estado.</w:t>
      </w:r>
    </w:p>
    <w:p w:rsidR="00A1391B" w:rsidRDefault="00A1391B" w:rsidP="00A1391B">
      <w:pPr>
        <w:pStyle w:val="NormalWeb"/>
        <w:tabs>
          <w:tab w:val="num" w:pos="900"/>
        </w:tabs>
        <w:spacing w:before="0" w:beforeAutospacing="0" w:after="0" w:afterAutospacing="0"/>
        <w:jc w:val="both"/>
        <w:rPr>
          <w:rFonts w:ascii="Tahoma" w:hAnsi="Tahoma" w:cs="Tahoma"/>
          <w:sz w:val="20"/>
          <w:szCs w:val="20"/>
          <w:highlight w:val="yellow"/>
        </w:rPr>
      </w:pPr>
    </w:p>
    <w:p w:rsidR="00A1391B" w:rsidRPr="005C3F5D" w:rsidRDefault="00A1391B" w:rsidP="00A1391B">
      <w:pPr>
        <w:tabs>
          <w:tab w:val="num" w:pos="9720"/>
        </w:tabs>
        <w:spacing w:after="0" w:line="240" w:lineRule="auto"/>
        <w:jc w:val="both"/>
        <w:rPr>
          <w:rFonts w:ascii="Tahoma" w:hAnsi="Tahoma" w:cs="Tahoma"/>
          <w:b/>
          <w:sz w:val="20"/>
          <w:szCs w:val="20"/>
        </w:rPr>
      </w:pPr>
      <w:r w:rsidRPr="005C3F5D">
        <w:rPr>
          <w:rFonts w:ascii="Tahoma" w:hAnsi="Tahoma" w:cs="Tahoma"/>
          <w:b/>
          <w:sz w:val="20"/>
          <w:szCs w:val="20"/>
        </w:rPr>
        <w:t>FUNDAMENTACIÓN:</w:t>
      </w:r>
    </w:p>
    <w:p w:rsidR="00A1391B" w:rsidRPr="0018508F" w:rsidRDefault="00A1391B" w:rsidP="00A1391B">
      <w:pPr>
        <w:spacing w:after="0" w:line="240" w:lineRule="auto"/>
        <w:rPr>
          <w:rFonts w:ascii="Tahoma" w:hAnsi="Tahoma" w:cs="Tahoma"/>
          <w:b/>
          <w:bCs/>
          <w:sz w:val="20"/>
          <w:szCs w:val="20"/>
        </w:rPr>
      </w:pPr>
    </w:p>
    <w:p w:rsidR="00A1391B" w:rsidRPr="0018508F" w:rsidRDefault="00A1391B" w:rsidP="00A1391B">
      <w:pPr>
        <w:numPr>
          <w:ilvl w:val="1"/>
          <w:numId w:val="9"/>
        </w:numPr>
        <w:tabs>
          <w:tab w:val="clear" w:pos="1080"/>
          <w:tab w:val="num" w:pos="540"/>
        </w:tabs>
        <w:spacing w:after="0" w:line="240" w:lineRule="auto"/>
        <w:ind w:left="540" w:hanging="540"/>
        <w:jc w:val="both"/>
        <w:rPr>
          <w:rFonts w:ascii="Tahoma" w:hAnsi="Tahoma" w:cs="Tahoma"/>
          <w:sz w:val="20"/>
          <w:szCs w:val="20"/>
          <w:lang w:val="es-ES_tradnl"/>
        </w:rPr>
      </w:pPr>
      <w:r w:rsidRPr="0018508F">
        <w:rPr>
          <w:rFonts w:ascii="Tahoma" w:hAnsi="Tahoma" w:cs="Tahoma"/>
          <w:sz w:val="20"/>
          <w:szCs w:val="20"/>
        </w:rPr>
        <w:t xml:space="preserve">El inicio del presente procedimiento administrativo sancionador fue decretado a consecuencia de la supuesta comisión, por parte de la empresa Inversiones Brown S.R.L., de la infracción tipificada en el </w:t>
      </w:r>
      <w:r w:rsidRPr="0018508F">
        <w:rPr>
          <w:rFonts w:ascii="Tahoma" w:hAnsi="Tahoma" w:cs="Tahoma"/>
          <w:spacing w:val="-2"/>
          <w:sz w:val="20"/>
          <w:szCs w:val="20"/>
        </w:rPr>
        <w:t>literal a) del numeral 51.1 del artículo 51</w:t>
      </w:r>
      <w:r w:rsidRPr="0018508F">
        <w:rPr>
          <w:rStyle w:val="Refdenotaalpie"/>
          <w:rFonts w:ascii="Tahoma" w:hAnsi="Tahoma" w:cs="Tahoma"/>
          <w:sz w:val="20"/>
          <w:szCs w:val="20"/>
        </w:rPr>
        <w:footnoteReference w:id="2"/>
      </w:r>
      <w:r w:rsidRPr="0018508F">
        <w:rPr>
          <w:rFonts w:ascii="Tahoma" w:hAnsi="Tahoma" w:cs="Tahoma"/>
          <w:spacing w:val="-2"/>
          <w:sz w:val="20"/>
          <w:szCs w:val="20"/>
        </w:rPr>
        <w:t xml:space="preserve"> de la Ley </w:t>
      </w:r>
      <w:r w:rsidRPr="0018508F">
        <w:rPr>
          <w:rFonts w:ascii="Tahoma" w:hAnsi="Tahoma" w:cs="Tahoma"/>
          <w:sz w:val="20"/>
          <w:szCs w:val="20"/>
        </w:rPr>
        <w:t>de Contrataciones del Estado, aprobado por Decreto Legislativo № 1017, en adelante la Ley, referente a la falta de suscripción del contrato luego de haber resultado ganador de la buena pro en la</w:t>
      </w:r>
      <w:r w:rsidRPr="0018508F">
        <w:rPr>
          <w:rFonts w:ascii="Tahoma" w:hAnsi="Tahoma" w:cs="Tahoma"/>
          <w:sz w:val="20"/>
          <w:szCs w:val="20"/>
          <w:lang w:val="es-PE"/>
        </w:rPr>
        <w:t xml:space="preserve"> </w:t>
      </w:r>
      <w:r w:rsidRPr="0018508F">
        <w:rPr>
          <w:rFonts w:ascii="Tahoma" w:hAnsi="Tahoma" w:cs="Tahoma"/>
          <w:sz w:val="20"/>
          <w:szCs w:val="20"/>
        </w:rPr>
        <w:t xml:space="preserve">Adjudicación Directa Selectiva por Subasta Inversa Electrónica Nº 0018-2010-PNAD. </w:t>
      </w:r>
    </w:p>
    <w:p w:rsidR="00A1391B" w:rsidRDefault="00A1391B" w:rsidP="00A1391B">
      <w:pPr>
        <w:spacing w:after="0" w:line="240" w:lineRule="auto"/>
        <w:jc w:val="both"/>
        <w:rPr>
          <w:rFonts w:ascii="Tahoma" w:hAnsi="Tahoma" w:cs="Tahoma"/>
          <w:sz w:val="20"/>
          <w:szCs w:val="20"/>
        </w:rPr>
      </w:pPr>
    </w:p>
    <w:p w:rsidR="00A1391B" w:rsidRPr="00177609" w:rsidRDefault="00A1391B" w:rsidP="00A1391B">
      <w:pPr>
        <w:spacing w:after="0" w:line="240" w:lineRule="auto"/>
        <w:jc w:val="both"/>
        <w:rPr>
          <w:rFonts w:ascii="Tahoma" w:hAnsi="Tahoma" w:cs="Tahoma"/>
          <w:b/>
          <w:bCs/>
          <w:sz w:val="20"/>
          <w:szCs w:val="20"/>
        </w:rPr>
      </w:pPr>
      <w:r w:rsidRPr="00177609">
        <w:rPr>
          <w:rFonts w:ascii="Tahoma" w:hAnsi="Tahoma" w:cs="Tahoma"/>
          <w:b/>
          <w:bCs/>
          <w:sz w:val="20"/>
          <w:szCs w:val="20"/>
        </w:rPr>
        <w:t>Análisis Formal</w:t>
      </w:r>
    </w:p>
    <w:p w:rsidR="00A1391B" w:rsidRPr="0018508F" w:rsidRDefault="00A1391B" w:rsidP="00A1391B">
      <w:pPr>
        <w:spacing w:after="0" w:line="240" w:lineRule="auto"/>
        <w:jc w:val="both"/>
        <w:rPr>
          <w:rFonts w:ascii="Tahoma" w:hAnsi="Tahoma" w:cs="Tahoma"/>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 xml:space="preserve">Al respecto, </w:t>
      </w:r>
      <w:r w:rsidRPr="0018508F">
        <w:rPr>
          <w:rFonts w:ascii="Tahoma" w:hAnsi="Tahoma" w:cs="Tahoma"/>
          <w:sz w:val="20"/>
          <w:szCs w:val="20"/>
          <w:lang w:val="es-MX"/>
        </w:rPr>
        <w:t xml:space="preserve">conforme a los criterios utilizados por el Tribunal en anteriores oportunidades, para que </w:t>
      </w:r>
      <w:r w:rsidRPr="0018508F">
        <w:rPr>
          <w:rFonts w:ascii="Tahoma" w:hAnsi="Tahoma" w:cs="Tahoma"/>
          <w:sz w:val="20"/>
          <w:szCs w:val="20"/>
        </w:rPr>
        <w:t xml:space="preserve">la infracción tipificada </w:t>
      </w:r>
      <w:r w:rsidRPr="0018508F">
        <w:rPr>
          <w:rFonts w:ascii="Tahoma" w:hAnsi="Tahoma" w:cs="Tahoma"/>
          <w:spacing w:val="-2"/>
          <w:sz w:val="20"/>
          <w:szCs w:val="20"/>
        </w:rPr>
        <w:t xml:space="preserve">literal a) del artículo 51 de la Ley </w:t>
      </w:r>
      <w:r w:rsidRPr="0018508F">
        <w:rPr>
          <w:rFonts w:ascii="Tahoma" w:hAnsi="Tahoma" w:cs="Tahoma"/>
          <w:sz w:val="20"/>
          <w:szCs w:val="20"/>
        </w:rPr>
        <w:t>se configure debe acreditarse, en principio, que la Entidad haya observado el procedimiento formal para la suscripción del contrato regulado en el artículo 148 del Reglamento (análisis de forma), el cual resulta aplicable al presente caso en virtud de lo dispuesto en el numeral 5.14 de la Directiva № 006-2009-OSCE/CD sobre “Lineamientos para la aplicación de la Modalidad Especial de Selección por Subasta Inversa</w:t>
      </w:r>
      <w:r w:rsidRPr="0018508F">
        <w:rPr>
          <w:rStyle w:val="Refdenotaalpie"/>
          <w:rFonts w:ascii="Tahoma" w:hAnsi="Tahoma" w:cs="Tahoma"/>
          <w:sz w:val="20"/>
          <w:szCs w:val="20"/>
        </w:rPr>
        <w:footnoteReference w:id="3"/>
      </w:r>
      <w:r w:rsidRPr="0018508F">
        <w:rPr>
          <w:rFonts w:ascii="Tahoma" w:hAnsi="Tahoma" w:cs="Tahoma"/>
          <w:sz w:val="20"/>
          <w:szCs w:val="20"/>
        </w:rPr>
        <w:t xml:space="preserve">; y de haberse efectivamente seguido tal procedimiento, verificar que la falta de esa suscripción se haya debido a causa imputable al Postor, es decir, que no exista justificación para tal omisión y, en caso contrario, ésta deberá haber quedado debidamente acreditada (análisis sustancial).   </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lastRenderedPageBreak/>
        <w:t xml:space="preserve">En cuanto al análisis formal, el artículo 148 del Reglamento establece que </w:t>
      </w:r>
      <w:r w:rsidRPr="0018508F">
        <w:rPr>
          <w:rFonts w:ascii="Tahoma" w:hAnsi="Tahoma" w:cs="Tahoma"/>
          <w:sz w:val="20"/>
          <w:szCs w:val="20"/>
          <w:u w:val="single"/>
        </w:rPr>
        <w:t>dentro de los dos (2) días hábiles siguientes al consentimiento de la buena pro, la Entidad deberá citar al postor ganador otorgándole el plazo establecido en las Bases, el cual no podrá ser menor de cinco (5) ni mayor de diez (10) días hábiles</w:t>
      </w:r>
      <w:r w:rsidRPr="0018508F">
        <w:rPr>
          <w:rFonts w:ascii="Tahoma" w:hAnsi="Tahoma" w:cs="Tahoma"/>
          <w:sz w:val="20"/>
          <w:szCs w:val="20"/>
        </w:rPr>
        <w:t>, dentro del cual deberá presentarse a suscribir el contrato con toda la documentación requerida, y si dicho adjudicatario no lo hiciese dentro del término otorgado, perderá automáticamente la buena pro sin perjuicio de la sanción administrativa aplicable.</w:t>
      </w:r>
    </w:p>
    <w:p w:rsidR="00A1391B" w:rsidRPr="0018508F" w:rsidRDefault="00A1391B" w:rsidP="00A1391B">
      <w:pPr>
        <w:tabs>
          <w:tab w:val="num" w:pos="900"/>
          <w:tab w:val="left" w:pos="4074"/>
        </w:tabs>
        <w:spacing w:after="0" w:line="240" w:lineRule="auto"/>
        <w:jc w:val="both"/>
        <w:rPr>
          <w:rFonts w:ascii="Tahoma" w:hAnsi="Tahoma" w:cs="Tahoma"/>
          <w:sz w:val="20"/>
          <w:szCs w:val="20"/>
        </w:rPr>
      </w:pPr>
    </w:p>
    <w:p w:rsidR="00A1391B" w:rsidRPr="0018508F" w:rsidRDefault="00A1391B" w:rsidP="00A1391B">
      <w:pPr>
        <w:spacing w:after="0" w:line="240" w:lineRule="auto"/>
        <w:ind w:left="540"/>
        <w:jc w:val="both"/>
        <w:rPr>
          <w:rFonts w:ascii="Tahoma" w:hAnsi="Tahoma" w:cs="Tahoma"/>
          <w:sz w:val="20"/>
          <w:szCs w:val="20"/>
        </w:rPr>
      </w:pPr>
      <w:r w:rsidRPr="0018508F">
        <w:rPr>
          <w:rFonts w:ascii="Tahoma" w:hAnsi="Tahoma" w:cs="Tahoma"/>
          <w:sz w:val="20"/>
          <w:szCs w:val="20"/>
        </w:rPr>
        <w:t>En ese orden de ideas, corresponde determinar de manera previa, si la Entidad ha seguido el debido procedimiento para suscribir el contrato.</w:t>
      </w:r>
    </w:p>
    <w:p w:rsidR="00A1391B" w:rsidRPr="0018508F" w:rsidRDefault="00A1391B" w:rsidP="00A1391B">
      <w:pPr>
        <w:spacing w:after="0" w:line="240" w:lineRule="auto"/>
        <w:jc w:val="both"/>
        <w:rPr>
          <w:rFonts w:ascii="Tahoma" w:hAnsi="Tahoma" w:cs="Tahoma"/>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Fluye de la revisión de los antecedentes administrativos que la buena pro de la Adjudicación Directa Selectiva por Subasta Inversa Electrónica Nº 0018-2010-PNAD</w:t>
      </w:r>
      <w:r w:rsidRPr="0018508F">
        <w:rPr>
          <w:rFonts w:ascii="Tahoma" w:hAnsi="Tahoma" w:cs="Tahoma"/>
          <w:sz w:val="20"/>
          <w:szCs w:val="20"/>
          <w:lang w:val="es-PE"/>
        </w:rPr>
        <w:t xml:space="preserve"> </w:t>
      </w:r>
      <w:r w:rsidRPr="0018508F">
        <w:rPr>
          <w:rFonts w:ascii="Tahoma" w:hAnsi="Tahoma" w:cs="Tahoma"/>
          <w:sz w:val="20"/>
          <w:szCs w:val="20"/>
        </w:rPr>
        <w:t xml:space="preserve">quedó consentida el </w:t>
      </w:r>
      <w:r w:rsidRPr="0018508F">
        <w:rPr>
          <w:rFonts w:ascii="Tahoma" w:hAnsi="Tahoma" w:cs="Tahoma"/>
          <w:b/>
          <w:bCs/>
          <w:sz w:val="20"/>
          <w:szCs w:val="20"/>
        </w:rPr>
        <w:t>08 de noviembre de 2010</w:t>
      </w:r>
      <w:r w:rsidRPr="0018508F">
        <w:rPr>
          <w:rFonts w:ascii="Tahoma" w:hAnsi="Tahoma" w:cs="Tahoma"/>
          <w:sz w:val="20"/>
          <w:szCs w:val="20"/>
        </w:rPr>
        <w:t>, esto es, a los cinco días del otorgamiento de la buena pro, de conformidad con lo previsto en el artículo 96 del Reglamento</w:t>
      </w:r>
      <w:r w:rsidRPr="0018508F">
        <w:rPr>
          <w:rStyle w:val="Refdenotaalpie"/>
          <w:rFonts w:ascii="Tahoma" w:hAnsi="Tahoma" w:cs="Tahoma"/>
          <w:sz w:val="20"/>
          <w:szCs w:val="20"/>
        </w:rPr>
        <w:footnoteReference w:id="4"/>
      </w:r>
      <w:r w:rsidRPr="0018508F">
        <w:rPr>
          <w:rFonts w:ascii="Tahoma" w:hAnsi="Tahoma" w:cs="Tahoma"/>
          <w:sz w:val="20"/>
          <w:szCs w:val="20"/>
        </w:rPr>
        <w:t xml:space="preserve">, por lo que la Entidad tenía que proceder a citar al ganador de la buena pro hasta el </w:t>
      </w:r>
      <w:r w:rsidRPr="0018508F">
        <w:rPr>
          <w:rFonts w:ascii="Tahoma" w:hAnsi="Tahoma" w:cs="Tahoma"/>
          <w:b/>
          <w:bCs/>
          <w:sz w:val="20"/>
          <w:szCs w:val="20"/>
        </w:rPr>
        <w:t>10 de  noviembre de 2010</w:t>
      </w:r>
      <w:r w:rsidRPr="0018508F">
        <w:rPr>
          <w:rFonts w:ascii="Tahoma" w:hAnsi="Tahoma" w:cs="Tahoma"/>
          <w:sz w:val="20"/>
          <w:szCs w:val="20"/>
        </w:rPr>
        <w:t xml:space="preserve">, siendo que mediante </w:t>
      </w:r>
      <w:r w:rsidRPr="0018508F">
        <w:rPr>
          <w:rFonts w:ascii="Tahoma" w:hAnsi="Tahoma" w:cs="Tahoma"/>
          <w:sz w:val="20"/>
          <w:szCs w:val="20"/>
          <w:lang w:val="es-PE"/>
        </w:rPr>
        <w:t xml:space="preserve">Oficio Nº 697/2010-PCM/PNJADP-UGA de </w:t>
      </w:r>
      <w:r w:rsidRPr="0018508F">
        <w:rPr>
          <w:rFonts w:ascii="Tahoma" w:hAnsi="Tahoma" w:cs="Tahoma"/>
          <w:b/>
          <w:bCs/>
          <w:sz w:val="20"/>
          <w:szCs w:val="20"/>
          <w:lang w:val="es-PE"/>
        </w:rPr>
        <w:t>fecha 09 de noviembre de 2010</w:t>
      </w:r>
      <w:r w:rsidRPr="0018508F">
        <w:rPr>
          <w:rFonts w:ascii="Tahoma" w:hAnsi="Tahoma" w:cs="Tahoma"/>
          <w:sz w:val="20"/>
          <w:szCs w:val="20"/>
          <w:lang w:val="es-PE"/>
        </w:rPr>
        <w:t>, notificado el 10 del mismo mes y año, procedió citarlo para la suscripción del contrato en un plazo no mayor a diez días hábiles</w:t>
      </w:r>
      <w:r w:rsidRPr="0018508F">
        <w:rPr>
          <w:rFonts w:ascii="Tahoma" w:hAnsi="Tahoma" w:cs="Tahoma"/>
          <w:sz w:val="20"/>
          <w:szCs w:val="20"/>
        </w:rPr>
        <w:t xml:space="preserve">. </w:t>
      </w:r>
    </w:p>
    <w:p w:rsidR="00A1391B" w:rsidRPr="0018508F" w:rsidRDefault="00A1391B" w:rsidP="00A1391B">
      <w:pPr>
        <w:spacing w:after="0" w:line="240" w:lineRule="auto"/>
        <w:ind w:left="567"/>
        <w:jc w:val="both"/>
        <w:rPr>
          <w:rFonts w:ascii="Tahoma" w:hAnsi="Tahoma" w:cs="Tahoma"/>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Ahora bien, habiéndose constatado que la Entidad cumplió con los plazos previstos en el citado artículo 148 del Reglamento, corresponde a este Colegiado efectuar el examen sustancial del caso a fin de determinar si la omisión de la celebración del contrato, se produjo por una situación imputable al Postor o, por el contrario, si hubo una causa justificante que pueda eximirle de dicha obligación.</w:t>
      </w:r>
    </w:p>
    <w:p w:rsidR="00A1391B" w:rsidRDefault="00A1391B" w:rsidP="00A1391B">
      <w:pPr>
        <w:spacing w:after="0" w:line="240" w:lineRule="auto"/>
        <w:rPr>
          <w:rFonts w:ascii="Tahoma" w:hAnsi="Tahoma" w:cs="Tahoma"/>
          <w:sz w:val="20"/>
          <w:szCs w:val="20"/>
        </w:rPr>
      </w:pPr>
    </w:p>
    <w:p w:rsidR="00A1391B" w:rsidRPr="00177609" w:rsidRDefault="00A1391B" w:rsidP="00A1391B">
      <w:pPr>
        <w:spacing w:after="0" w:line="240" w:lineRule="auto"/>
        <w:rPr>
          <w:rFonts w:ascii="Tahoma" w:hAnsi="Tahoma" w:cs="Tahoma"/>
          <w:b/>
          <w:bCs/>
          <w:sz w:val="20"/>
          <w:szCs w:val="20"/>
        </w:rPr>
      </w:pPr>
      <w:r w:rsidRPr="00177609">
        <w:rPr>
          <w:rFonts w:ascii="Tahoma" w:hAnsi="Tahoma" w:cs="Tahoma"/>
          <w:b/>
          <w:bCs/>
          <w:sz w:val="20"/>
          <w:szCs w:val="20"/>
        </w:rPr>
        <w:t>Análisis Sustancial</w:t>
      </w:r>
    </w:p>
    <w:p w:rsidR="00A1391B" w:rsidRPr="00177609" w:rsidRDefault="00A1391B" w:rsidP="00A1391B">
      <w:pPr>
        <w:spacing w:after="0" w:line="240" w:lineRule="auto"/>
        <w:rPr>
          <w:rFonts w:ascii="Tahoma" w:hAnsi="Tahoma" w:cs="Tahoma"/>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 xml:space="preserve">En dicho orden de ideas, cabe considerar lo establecido en el artículo 137 del Reglamento, el cual prescribe que </w:t>
      </w:r>
      <w:r w:rsidRPr="0018508F">
        <w:rPr>
          <w:rFonts w:ascii="Tahoma" w:hAnsi="Tahoma" w:cs="Tahoma"/>
          <w:i/>
          <w:iCs/>
          <w:sz w:val="20"/>
          <w:szCs w:val="20"/>
        </w:rPr>
        <w:t>“Una vez que la Buena Pro ha quedado consentida o administrativamente firme, tanto la Entidad como el o los postores ganadores, están obligados a suscribir el o los contratos respectivos. (…) En caso que el o los postores ganadores de la buena pro se nieguen a suscribir el contrato, serán pasibles de sanción, salvo imposibilidad física o jurídica sobrevenida al otorgamiento de la buena pro que no le es atribuible, declarada por el Tribunal”</w:t>
      </w:r>
      <w:r w:rsidRPr="0018508F">
        <w:rPr>
          <w:rFonts w:ascii="Tahoma" w:hAnsi="Tahoma" w:cs="Tahoma"/>
          <w:sz w:val="20"/>
          <w:szCs w:val="20"/>
        </w:rPr>
        <w:t>.</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lastRenderedPageBreak/>
        <w:t>En relación a lo anterior, debe señalarse que el postor adjudicatario de la Buena Pro, tiene como obligación mantener su propuesta hasta la suscripción del contrato, constituyendo dicha obligación una carga impuesta al administrado en virtud de los vínculos jurídicos que lo ligan con el Estado, que a decir de Roberto Dromi</w:t>
      </w:r>
      <w:r w:rsidRPr="0018508F">
        <w:rPr>
          <w:rStyle w:val="Refdenotaalpie"/>
          <w:rFonts w:ascii="Tahoma" w:hAnsi="Tahoma" w:cs="Tahoma"/>
          <w:sz w:val="20"/>
          <w:szCs w:val="20"/>
        </w:rPr>
        <w:footnoteReference w:id="5"/>
      </w:r>
      <w:r w:rsidRPr="0018508F">
        <w:rPr>
          <w:rFonts w:ascii="Tahoma" w:hAnsi="Tahoma" w:cs="Tahoma"/>
          <w:sz w:val="20"/>
          <w:szCs w:val="20"/>
        </w:rPr>
        <w:t xml:space="preserve"> se funda, entre otras razones jurídicas, en la significación política y social del interés público afectado y en la confianza y responsabilidad del licitante, que excluyen el arbitrio o la inestabilidad en la promesa formulada por el particular oferente.</w:t>
      </w:r>
    </w:p>
    <w:p w:rsidR="00A1391B" w:rsidRPr="0018508F" w:rsidRDefault="00A1391B" w:rsidP="00A1391B">
      <w:pPr>
        <w:pStyle w:val="Prrafodelista"/>
        <w:rPr>
          <w:rFonts w:ascii="Tahoma" w:hAnsi="Tahoma" w:cs="Tahoma"/>
          <w:sz w:val="20"/>
        </w:rPr>
      </w:pPr>
    </w:p>
    <w:p w:rsidR="00A1391B"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En efecto, lo señalado anteriormente, se verifica en nuestra normativa de contrataciones, toda vez que el artículo 42 del Reglamento establece como un documento de presentación obligatoria la Declaración Jurada Simple en la cual el postor se comprometa, entre otros, a mantener su oferta durante el proceso de selección y a suscribir el contrato en caso de resultar favorecido con la Buena Pro.</w:t>
      </w:r>
    </w:p>
    <w:p w:rsidR="00A1391B"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Respecto a todo ello, el Postor ha señalado ante la Entidad en su carta de desistimiento de la buena pro, y ante este Colegiado al presentar sus descargos, que renunció a la posibilidad de suscribir el contrato y a la adjudicación realizada, puesto que se había cometido un error al momento de manifestar su oferta económica en la etapa de lances electrónicos.</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Según refiere el Postor, al momento de presentar sus respectivas ofertas en el Item Nº 02, combustible Diesel 2, la trabajadora encargada de los lances cometió un erro</w:t>
      </w:r>
      <w:r>
        <w:rPr>
          <w:rFonts w:ascii="Tahoma" w:hAnsi="Tahoma" w:cs="Tahoma"/>
          <w:sz w:val="20"/>
          <w:szCs w:val="20"/>
        </w:rPr>
        <w:t>r</w:t>
      </w:r>
      <w:r w:rsidRPr="0018508F">
        <w:rPr>
          <w:rFonts w:ascii="Tahoma" w:hAnsi="Tahoma" w:cs="Tahoma"/>
          <w:sz w:val="20"/>
          <w:szCs w:val="20"/>
        </w:rPr>
        <w:t xml:space="preserve"> involuntario al digitar el precio final, consignándolo por debajo del precio real del mercado, es decir, menor al precio de compra o cotización.</w:t>
      </w:r>
    </w:p>
    <w:p w:rsidR="00A1391B" w:rsidRPr="0018508F" w:rsidRDefault="00A1391B" w:rsidP="00A1391B">
      <w:pPr>
        <w:pStyle w:val="Prrafodelista"/>
        <w:rPr>
          <w:rFonts w:ascii="Tahoma" w:hAnsi="Tahoma" w:cs="Tahoma"/>
          <w:sz w:val="20"/>
        </w:rPr>
      </w:pPr>
    </w:p>
    <w:p w:rsidR="00A1391B" w:rsidRPr="00177609" w:rsidRDefault="00A1391B" w:rsidP="00A1391B">
      <w:pPr>
        <w:spacing w:after="0" w:line="240" w:lineRule="auto"/>
        <w:ind w:left="567"/>
        <w:jc w:val="both"/>
        <w:rPr>
          <w:rFonts w:ascii="Tahoma" w:hAnsi="Tahoma" w:cs="Tahoma"/>
          <w:sz w:val="20"/>
          <w:szCs w:val="20"/>
        </w:rPr>
      </w:pPr>
      <w:r w:rsidRPr="0018508F">
        <w:rPr>
          <w:rFonts w:ascii="Tahoma" w:hAnsi="Tahoma" w:cs="Tahoma"/>
          <w:sz w:val="20"/>
          <w:szCs w:val="20"/>
        </w:rPr>
        <w:t xml:space="preserve">El error consistió </w:t>
      </w:r>
      <w:r>
        <w:rPr>
          <w:rFonts w:ascii="Tahoma" w:hAnsi="Tahoma" w:cs="Tahoma"/>
          <w:sz w:val="20"/>
          <w:szCs w:val="20"/>
        </w:rPr>
        <w:t>en digitar erróneamente el número 6 en la posición numérica que corresponde a las unidades de millar, cuando lo correcto era digitar el numero 9</w:t>
      </w:r>
      <w:r w:rsidRPr="00177609">
        <w:rPr>
          <w:rFonts w:ascii="Tahoma" w:hAnsi="Tahoma" w:cs="Tahoma"/>
          <w:sz w:val="20"/>
          <w:szCs w:val="20"/>
        </w:rPr>
        <w:t xml:space="preserve">, resultando un lance electrónico también errado de </w:t>
      </w:r>
      <w:r w:rsidRPr="00177609">
        <w:rPr>
          <w:rFonts w:ascii="Tahoma" w:hAnsi="Tahoma" w:cs="Tahoma"/>
          <w:b/>
          <w:bCs/>
          <w:sz w:val="20"/>
          <w:szCs w:val="20"/>
        </w:rPr>
        <w:t>S/. 16, 560.00</w:t>
      </w:r>
      <w:r w:rsidRPr="00177609">
        <w:rPr>
          <w:rFonts w:ascii="Tahoma" w:hAnsi="Tahoma" w:cs="Tahoma"/>
          <w:sz w:val="20"/>
          <w:szCs w:val="20"/>
        </w:rPr>
        <w:t xml:space="preserve"> cuando lo correcto era  </w:t>
      </w:r>
      <w:r w:rsidRPr="00177609">
        <w:rPr>
          <w:rFonts w:ascii="Tahoma" w:hAnsi="Tahoma" w:cs="Tahoma"/>
          <w:b/>
          <w:bCs/>
          <w:sz w:val="20"/>
          <w:szCs w:val="20"/>
        </w:rPr>
        <w:t>S/. 19, 560.00,</w:t>
      </w:r>
      <w:r w:rsidRPr="00177609">
        <w:rPr>
          <w:rFonts w:ascii="Tahoma" w:hAnsi="Tahoma" w:cs="Tahoma"/>
          <w:sz w:val="20"/>
          <w:szCs w:val="20"/>
        </w:rPr>
        <w:t xml:space="preserve"> por lo que dicha propuesta no representaba la voluntad ni el precio real de la oferta.</w:t>
      </w:r>
    </w:p>
    <w:p w:rsidR="00A1391B" w:rsidRPr="0018508F" w:rsidRDefault="00A1391B" w:rsidP="00A1391B">
      <w:pPr>
        <w:pStyle w:val="Prrafodelista"/>
        <w:rPr>
          <w:rFonts w:ascii="Tahoma" w:hAnsi="Tahoma" w:cs="Tahoma"/>
          <w:sz w:val="20"/>
        </w:rPr>
      </w:pPr>
    </w:p>
    <w:p w:rsidR="00A1391B" w:rsidRPr="0018508F" w:rsidRDefault="00A1391B" w:rsidP="00A1391B">
      <w:pPr>
        <w:spacing w:after="0" w:line="240" w:lineRule="auto"/>
        <w:ind w:left="567"/>
        <w:jc w:val="both"/>
        <w:rPr>
          <w:rFonts w:ascii="Tahoma" w:hAnsi="Tahoma" w:cs="Tahoma"/>
          <w:sz w:val="20"/>
          <w:szCs w:val="20"/>
        </w:rPr>
      </w:pPr>
      <w:r w:rsidRPr="0018508F">
        <w:rPr>
          <w:rFonts w:ascii="Tahoma" w:hAnsi="Tahoma" w:cs="Tahoma"/>
          <w:sz w:val="20"/>
          <w:szCs w:val="20"/>
        </w:rPr>
        <w:t>Asimismo, señaló que luego de haberse cometido la inexactitud, no se pudo revertir la situación, toda vez que el periodo de lances culminó y no existen herramientas que permitiera modifica el referido error.</w:t>
      </w:r>
    </w:p>
    <w:p w:rsidR="00A1391B" w:rsidRPr="0018508F" w:rsidRDefault="00A1391B" w:rsidP="00A1391B">
      <w:pPr>
        <w:spacing w:after="0" w:line="240" w:lineRule="auto"/>
        <w:ind w:left="567"/>
        <w:jc w:val="both"/>
        <w:rPr>
          <w:rFonts w:ascii="Tahoma" w:hAnsi="Tahoma" w:cs="Tahoma"/>
          <w:sz w:val="20"/>
          <w:szCs w:val="20"/>
        </w:rPr>
      </w:pPr>
    </w:p>
    <w:p w:rsidR="00A1391B" w:rsidRPr="0018508F" w:rsidRDefault="00A1391B" w:rsidP="00A1391B">
      <w:pPr>
        <w:spacing w:after="0" w:line="240" w:lineRule="auto"/>
        <w:ind w:left="567"/>
        <w:jc w:val="both"/>
        <w:rPr>
          <w:rFonts w:ascii="Tahoma" w:hAnsi="Tahoma" w:cs="Tahoma"/>
          <w:sz w:val="20"/>
          <w:szCs w:val="20"/>
        </w:rPr>
      </w:pPr>
      <w:r w:rsidRPr="0018508F">
        <w:rPr>
          <w:rFonts w:ascii="Tahoma" w:hAnsi="Tahoma" w:cs="Tahoma"/>
          <w:sz w:val="20"/>
          <w:szCs w:val="20"/>
        </w:rPr>
        <w:t xml:space="preserve">Conforme la propuesta electrónica errada, se puede apreciar que el precio por galón ascendería a </w:t>
      </w:r>
      <w:r w:rsidRPr="0018508F">
        <w:rPr>
          <w:rFonts w:ascii="Tahoma" w:hAnsi="Tahoma" w:cs="Tahoma"/>
          <w:b/>
          <w:bCs/>
          <w:sz w:val="20"/>
          <w:szCs w:val="20"/>
        </w:rPr>
        <w:t>S/. 9.20</w:t>
      </w:r>
      <w:r w:rsidRPr="0018508F">
        <w:rPr>
          <w:rFonts w:ascii="Tahoma" w:hAnsi="Tahoma" w:cs="Tahoma"/>
          <w:sz w:val="20"/>
          <w:szCs w:val="20"/>
        </w:rPr>
        <w:t xml:space="preserve"> nuevos soles por debajo del precio actual de planta, lo que resultaría prejudicial para la empresa.</w:t>
      </w:r>
    </w:p>
    <w:p w:rsidR="00A1391B" w:rsidRPr="0018508F" w:rsidRDefault="00A1391B" w:rsidP="00A1391B">
      <w:pPr>
        <w:spacing w:after="0" w:line="240" w:lineRule="auto"/>
        <w:ind w:left="567"/>
        <w:jc w:val="both"/>
        <w:rPr>
          <w:rFonts w:ascii="Tahoma" w:hAnsi="Tahoma" w:cs="Tahoma"/>
          <w:sz w:val="20"/>
          <w:szCs w:val="20"/>
        </w:rPr>
      </w:pPr>
    </w:p>
    <w:p w:rsidR="00A1391B" w:rsidRPr="0018508F" w:rsidRDefault="00A1391B" w:rsidP="00A1391B">
      <w:pPr>
        <w:spacing w:after="0" w:line="240" w:lineRule="auto"/>
        <w:ind w:left="567"/>
        <w:jc w:val="both"/>
        <w:rPr>
          <w:rFonts w:ascii="Tahoma" w:hAnsi="Tahoma" w:cs="Tahoma"/>
          <w:sz w:val="20"/>
          <w:szCs w:val="20"/>
        </w:rPr>
      </w:pPr>
      <w:r w:rsidRPr="0018508F">
        <w:rPr>
          <w:rFonts w:ascii="Tahoma" w:hAnsi="Tahoma" w:cs="Tahoma"/>
          <w:sz w:val="20"/>
          <w:szCs w:val="20"/>
        </w:rPr>
        <w:t>Finalmente, indicó  que adquiere el Petróleo Diesel 2 a la Planta en un precio de S/. 10.08 incluido el IGV y sumado a los demás costos de flete y percepción resulta un precio real de</w:t>
      </w:r>
      <w:r w:rsidRPr="0018508F">
        <w:rPr>
          <w:rFonts w:ascii="Tahoma" w:hAnsi="Tahoma" w:cs="Tahoma"/>
          <w:b/>
          <w:bCs/>
          <w:sz w:val="20"/>
          <w:szCs w:val="20"/>
        </w:rPr>
        <w:t xml:space="preserve"> S/. 10.68</w:t>
      </w:r>
      <w:r w:rsidRPr="0018508F">
        <w:rPr>
          <w:rFonts w:ascii="Tahoma" w:hAnsi="Tahoma" w:cs="Tahoma"/>
          <w:sz w:val="20"/>
          <w:szCs w:val="20"/>
        </w:rPr>
        <w:t>, lo que ocasionaría que se adquiera el galón  de petróleo a S/. 10.68 para vender a la Entidad a S/. 9.20, lo cual resultaría irrazonable y prejudicial contra la empresa.</w:t>
      </w:r>
    </w:p>
    <w:p w:rsidR="00A1391B" w:rsidRPr="0018508F" w:rsidRDefault="00A1391B" w:rsidP="00A1391B">
      <w:pPr>
        <w:spacing w:after="0" w:line="240" w:lineRule="auto"/>
        <w:ind w:left="567"/>
        <w:jc w:val="both"/>
        <w:rPr>
          <w:rFonts w:ascii="Tahoma" w:hAnsi="Tahoma" w:cs="Tahoma"/>
          <w:sz w:val="20"/>
          <w:szCs w:val="20"/>
          <w:highlight w:val="yellow"/>
        </w:rPr>
      </w:pPr>
    </w:p>
    <w:p w:rsidR="00A1391B"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 xml:space="preserve">En el caso materia de análisis, cabe precisar que el valor referencial del </w:t>
      </w:r>
      <w:r w:rsidR="00D44493" w:rsidRPr="0018508F">
        <w:rPr>
          <w:rFonts w:ascii="Tahoma" w:hAnsi="Tahoma" w:cs="Tahoma"/>
          <w:sz w:val="20"/>
          <w:szCs w:val="20"/>
        </w:rPr>
        <w:t>Ítem</w:t>
      </w:r>
      <w:r w:rsidRPr="0018508F">
        <w:rPr>
          <w:rFonts w:ascii="Tahoma" w:hAnsi="Tahoma" w:cs="Tahoma"/>
          <w:sz w:val="20"/>
          <w:szCs w:val="20"/>
        </w:rPr>
        <w:t xml:space="preserve"> 2, Petróleo Diesel 2 se elaboró en virtud al siguiente detalle:</w:t>
      </w:r>
    </w:p>
    <w:p w:rsidR="00A1391B" w:rsidRPr="0018508F" w:rsidRDefault="00A1391B" w:rsidP="00D44493">
      <w:pPr>
        <w:spacing w:after="0" w:line="240" w:lineRule="auto"/>
        <w:jc w:val="both"/>
        <w:rPr>
          <w:rFonts w:ascii="Tahoma" w:hAnsi="Tahoma" w:cs="Tahoma"/>
          <w:sz w:val="20"/>
          <w:szCs w:val="20"/>
        </w:rPr>
      </w:pPr>
    </w:p>
    <w:tbl>
      <w:tblPr>
        <w:tblpPr w:leftFromText="141" w:rightFromText="141" w:vertAnchor="text" w:horzAnchor="margin" w:tblpXSpec="center" w:tblpY="1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559"/>
        <w:gridCol w:w="1276"/>
        <w:gridCol w:w="1418"/>
        <w:gridCol w:w="1275"/>
        <w:gridCol w:w="1276"/>
      </w:tblGrid>
      <w:tr w:rsidR="00A1391B" w:rsidRPr="0018508F" w:rsidTr="009D756F">
        <w:tc>
          <w:tcPr>
            <w:tcW w:w="817" w:type="dxa"/>
            <w:vAlign w:val="center"/>
          </w:tcPr>
          <w:p w:rsidR="00A1391B" w:rsidRPr="00E97D4F" w:rsidRDefault="00A1391B" w:rsidP="00A1391B">
            <w:pPr>
              <w:spacing w:after="0" w:line="240" w:lineRule="auto"/>
              <w:jc w:val="center"/>
              <w:rPr>
                <w:rFonts w:ascii="Tahoma" w:hAnsi="Tahoma" w:cs="Tahoma"/>
                <w:b/>
                <w:bCs/>
                <w:sz w:val="18"/>
                <w:szCs w:val="18"/>
              </w:rPr>
            </w:pPr>
            <w:r w:rsidRPr="00E97D4F">
              <w:rPr>
                <w:rFonts w:ascii="Tahoma" w:hAnsi="Tahoma" w:cs="Tahoma"/>
                <w:b/>
                <w:bCs/>
                <w:sz w:val="18"/>
                <w:szCs w:val="18"/>
              </w:rPr>
              <w:t>Ítem</w:t>
            </w:r>
          </w:p>
        </w:tc>
        <w:tc>
          <w:tcPr>
            <w:tcW w:w="1559" w:type="dxa"/>
            <w:vAlign w:val="center"/>
          </w:tcPr>
          <w:p w:rsidR="00A1391B" w:rsidRPr="00E97D4F" w:rsidRDefault="00A1391B" w:rsidP="00A1391B">
            <w:pPr>
              <w:spacing w:after="0" w:line="240" w:lineRule="auto"/>
              <w:jc w:val="center"/>
              <w:rPr>
                <w:rFonts w:ascii="Tahoma" w:hAnsi="Tahoma" w:cs="Tahoma"/>
                <w:b/>
                <w:bCs/>
                <w:sz w:val="18"/>
                <w:szCs w:val="18"/>
              </w:rPr>
            </w:pPr>
            <w:r w:rsidRPr="00E97D4F">
              <w:rPr>
                <w:rFonts w:ascii="Tahoma" w:hAnsi="Tahoma" w:cs="Tahoma"/>
                <w:b/>
                <w:bCs/>
                <w:sz w:val="18"/>
                <w:szCs w:val="18"/>
              </w:rPr>
              <w:t>Descripción</w:t>
            </w:r>
          </w:p>
        </w:tc>
        <w:tc>
          <w:tcPr>
            <w:tcW w:w="1276" w:type="dxa"/>
            <w:vAlign w:val="center"/>
          </w:tcPr>
          <w:p w:rsidR="00A1391B" w:rsidRPr="00E97D4F" w:rsidRDefault="00A1391B" w:rsidP="00A1391B">
            <w:pPr>
              <w:spacing w:after="0" w:line="240" w:lineRule="auto"/>
              <w:jc w:val="center"/>
              <w:rPr>
                <w:rFonts w:ascii="Tahoma" w:hAnsi="Tahoma" w:cs="Tahoma"/>
                <w:b/>
                <w:bCs/>
                <w:sz w:val="18"/>
                <w:szCs w:val="18"/>
              </w:rPr>
            </w:pPr>
            <w:r w:rsidRPr="00E97D4F">
              <w:rPr>
                <w:rFonts w:ascii="Tahoma" w:hAnsi="Tahoma" w:cs="Tahoma"/>
                <w:b/>
                <w:bCs/>
                <w:sz w:val="18"/>
                <w:szCs w:val="18"/>
              </w:rPr>
              <w:t>Unidad de Medida</w:t>
            </w:r>
          </w:p>
        </w:tc>
        <w:tc>
          <w:tcPr>
            <w:tcW w:w="1418" w:type="dxa"/>
            <w:vAlign w:val="center"/>
          </w:tcPr>
          <w:p w:rsidR="00A1391B" w:rsidRPr="00E97D4F" w:rsidRDefault="00A1391B" w:rsidP="00A1391B">
            <w:pPr>
              <w:spacing w:after="0" w:line="240" w:lineRule="auto"/>
              <w:jc w:val="center"/>
              <w:rPr>
                <w:rFonts w:ascii="Tahoma" w:hAnsi="Tahoma" w:cs="Tahoma"/>
                <w:b/>
                <w:bCs/>
                <w:sz w:val="18"/>
                <w:szCs w:val="18"/>
              </w:rPr>
            </w:pPr>
            <w:r w:rsidRPr="00E97D4F">
              <w:rPr>
                <w:rFonts w:ascii="Tahoma" w:hAnsi="Tahoma" w:cs="Tahoma"/>
                <w:b/>
                <w:bCs/>
                <w:sz w:val="18"/>
                <w:szCs w:val="18"/>
              </w:rPr>
              <w:t>Cantidad Referencial</w:t>
            </w:r>
          </w:p>
        </w:tc>
        <w:tc>
          <w:tcPr>
            <w:tcW w:w="1275" w:type="dxa"/>
            <w:vAlign w:val="center"/>
          </w:tcPr>
          <w:p w:rsidR="00A1391B" w:rsidRPr="00E97D4F" w:rsidRDefault="00A1391B" w:rsidP="00A1391B">
            <w:pPr>
              <w:spacing w:after="0" w:line="240" w:lineRule="auto"/>
              <w:jc w:val="center"/>
              <w:rPr>
                <w:rFonts w:ascii="Tahoma" w:hAnsi="Tahoma" w:cs="Tahoma"/>
                <w:b/>
                <w:bCs/>
                <w:sz w:val="18"/>
                <w:szCs w:val="18"/>
              </w:rPr>
            </w:pPr>
            <w:r w:rsidRPr="00E97D4F">
              <w:rPr>
                <w:rFonts w:ascii="Tahoma" w:hAnsi="Tahoma" w:cs="Tahoma"/>
                <w:b/>
                <w:bCs/>
                <w:sz w:val="18"/>
                <w:szCs w:val="18"/>
              </w:rPr>
              <w:t>Valor unitario</w:t>
            </w:r>
          </w:p>
        </w:tc>
        <w:tc>
          <w:tcPr>
            <w:tcW w:w="1276" w:type="dxa"/>
            <w:vAlign w:val="center"/>
          </w:tcPr>
          <w:p w:rsidR="00A1391B" w:rsidRPr="00E97D4F" w:rsidRDefault="00A1391B" w:rsidP="00A1391B">
            <w:pPr>
              <w:spacing w:after="0" w:line="240" w:lineRule="auto"/>
              <w:jc w:val="center"/>
              <w:rPr>
                <w:rFonts w:ascii="Tahoma" w:hAnsi="Tahoma" w:cs="Tahoma"/>
                <w:b/>
                <w:bCs/>
                <w:sz w:val="18"/>
                <w:szCs w:val="18"/>
              </w:rPr>
            </w:pPr>
            <w:r w:rsidRPr="00E97D4F">
              <w:rPr>
                <w:rFonts w:ascii="Tahoma" w:hAnsi="Tahoma" w:cs="Tahoma"/>
                <w:b/>
                <w:bCs/>
                <w:sz w:val="18"/>
                <w:szCs w:val="18"/>
              </w:rPr>
              <w:t>Valor Referencial</w:t>
            </w:r>
          </w:p>
        </w:tc>
      </w:tr>
      <w:tr w:rsidR="00A1391B" w:rsidRPr="0018508F" w:rsidTr="009D756F">
        <w:tc>
          <w:tcPr>
            <w:tcW w:w="817" w:type="dxa"/>
            <w:vAlign w:val="center"/>
          </w:tcPr>
          <w:p w:rsidR="00A1391B" w:rsidRPr="00E97D4F" w:rsidRDefault="00A1391B" w:rsidP="00A1391B">
            <w:pPr>
              <w:spacing w:after="0" w:line="240" w:lineRule="auto"/>
              <w:jc w:val="center"/>
              <w:rPr>
                <w:rFonts w:ascii="Tahoma" w:hAnsi="Tahoma" w:cs="Tahoma"/>
                <w:sz w:val="18"/>
                <w:szCs w:val="18"/>
              </w:rPr>
            </w:pPr>
            <w:r w:rsidRPr="00E97D4F">
              <w:rPr>
                <w:rFonts w:ascii="Tahoma" w:hAnsi="Tahoma" w:cs="Tahoma"/>
                <w:sz w:val="18"/>
                <w:szCs w:val="18"/>
              </w:rPr>
              <w:t>02</w:t>
            </w:r>
          </w:p>
        </w:tc>
        <w:tc>
          <w:tcPr>
            <w:tcW w:w="1559" w:type="dxa"/>
            <w:vAlign w:val="center"/>
          </w:tcPr>
          <w:p w:rsidR="00A1391B" w:rsidRPr="00E97D4F" w:rsidRDefault="00A1391B" w:rsidP="00A1391B">
            <w:pPr>
              <w:spacing w:after="0" w:line="240" w:lineRule="auto"/>
              <w:jc w:val="center"/>
              <w:rPr>
                <w:rFonts w:ascii="Tahoma" w:hAnsi="Tahoma" w:cs="Tahoma"/>
                <w:sz w:val="18"/>
                <w:szCs w:val="18"/>
              </w:rPr>
            </w:pPr>
            <w:r w:rsidRPr="00E97D4F">
              <w:rPr>
                <w:rFonts w:ascii="Tahoma" w:hAnsi="Tahoma" w:cs="Tahoma"/>
                <w:sz w:val="18"/>
                <w:szCs w:val="18"/>
              </w:rPr>
              <w:t>Petróleos Diesel 2</w:t>
            </w:r>
          </w:p>
        </w:tc>
        <w:tc>
          <w:tcPr>
            <w:tcW w:w="1276" w:type="dxa"/>
            <w:vAlign w:val="center"/>
          </w:tcPr>
          <w:p w:rsidR="00A1391B" w:rsidRPr="00E97D4F" w:rsidRDefault="00A1391B" w:rsidP="00A1391B">
            <w:pPr>
              <w:spacing w:after="0" w:line="240" w:lineRule="auto"/>
              <w:jc w:val="center"/>
              <w:rPr>
                <w:rFonts w:ascii="Tahoma" w:hAnsi="Tahoma" w:cs="Tahoma"/>
                <w:sz w:val="18"/>
                <w:szCs w:val="18"/>
              </w:rPr>
            </w:pPr>
            <w:r w:rsidRPr="00E97D4F">
              <w:rPr>
                <w:rFonts w:ascii="Tahoma" w:hAnsi="Tahoma" w:cs="Tahoma"/>
                <w:sz w:val="18"/>
                <w:szCs w:val="18"/>
              </w:rPr>
              <w:t>Galón</w:t>
            </w:r>
          </w:p>
        </w:tc>
        <w:tc>
          <w:tcPr>
            <w:tcW w:w="1418" w:type="dxa"/>
            <w:vAlign w:val="center"/>
          </w:tcPr>
          <w:p w:rsidR="00A1391B" w:rsidRPr="00E97D4F" w:rsidRDefault="00A1391B" w:rsidP="00A1391B">
            <w:pPr>
              <w:spacing w:after="0" w:line="240" w:lineRule="auto"/>
              <w:jc w:val="center"/>
              <w:rPr>
                <w:rFonts w:ascii="Tahoma" w:hAnsi="Tahoma" w:cs="Tahoma"/>
                <w:sz w:val="18"/>
                <w:szCs w:val="18"/>
              </w:rPr>
            </w:pPr>
            <w:r w:rsidRPr="00E97D4F">
              <w:rPr>
                <w:rFonts w:ascii="Tahoma" w:hAnsi="Tahoma" w:cs="Tahoma"/>
                <w:sz w:val="18"/>
                <w:szCs w:val="18"/>
              </w:rPr>
              <w:t>1,800</w:t>
            </w:r>
          </w:p>
        </w:tc>
        <w:tc>
          <w:tcPr>
            <w:tcW w:w="1275" w:type="dxa"/>
            <w:vAlign w:val="center"/>
          </w:tcPr>
          <w:p w:rsidR="00A1391B" w:rsidRPr="00E97D4F" w:rsidRDefault="00A1391B" w:rsidP="00A1391B">
            <w:pPr>
              <w:spacing w:after="0" w:line="240" w:lineRule="auto"/>
              <w:jc w:val="center"/>
              <w:rPr>
                <w:rFonts w:ascii="Tahoma" w:hAnsi="Tahoma" w:cs="Tahoma"/>
                <w:sz w:val="18"/>
                <w:szCs w:val="18"/>
              </w:rPr>
            </w:pPr>
            <w:r w:rsidRPr="00E97D4F">
              <w:rPr>
                <w:rFonts w:ascii="Tahoma" w:hAnsi="Tahoma" w:cs="Tahoma"/>
                <w:sz w:val="18"/>
                <w:szCs w:val="18"/>
              </w:rPr>
              <w:t>11.37</w:t>
            </w:r>
          </w:p>
        </w:tc>
        <w:tc>
          <w:tcPr>
            <w:tcW w:w="1276" w:type="dxa"/>
            <w:vAlign w:val="center"/>
          </w:tcPr>
          <w:p w:rsidR="00A1391B" w:rsidRPr="00E97D4F" w:rsidRDefault="00A1391B" w:rsidP="00A1391B">
            <w:pPr>
              <w:spacing w:after="0" w:line="240" w:lineRule="auto"/>
              <w:jc w:val="center"/>
              <w:rPr>
                <w:rFonts w:ascii="Tahoma" w:hAnsi="Tahoma" w:cs="Tahoma"/>
                <w:sz w:val="18"/>
                <w:szCs w:val="18"/>
              </w:rPr>
            </w:pPr>
            <w:r w:rsidRPr="00E97D4F">
              <w:rPr>
                <w:rFonts w:ascii="Tahoma" w:hAnsi="Tahoma" w:cs="Tahoma"/>
                <w:sz w:val="18"/>
                <w:szCs w:val="18"/>
              </w:rPr>
              <w:t>20,466.00</w:t>
            </w:r>
          </w:p>
        </w:tc>
      </w:tr>
    </w:tbl>
    <w:p w:rsidR="00A1391B" w:rsidRDefault="00A1391B" w:rsidP="00A1391B">
      <w:pPr>
        <w:spacing w:after="0" w:line="240" w:lineRule="auto"/>
        <w:jc w:val="both"/>
        <w:rPr>
          <w:rFonts w:ascii="Tahoma" w:hAnsi="Tahoma" w:cs="Tahoma"/>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Pr>
          <w:rFonts w:ascii="Tahoma" w:hAnsi="Tahoma" w:cs="Tahoma"/>
          <w:sz w:val="20"/>
          <w:szCs w:val="20"/>
        </w:rPr>
        <w:t xml:space="preserve">En </w:t>
      </w:r>
      <w:r w:rsidRPr="0018508F">
        <w:rPr>
          <w:rFonts w:ascii="Tahoma" w:hAnsi="Tahoma" w:cs="Tahoma"/>
          <w:sz w:val="20"/>
          <w:szCs w:val="20"/>
        </w:rPr>
        <w:t>virtud a dicho valor establecido, los tres Postores participantes del referido Ítem presentaron sus ofertas económicas iníciales por el monto de S/.  20, 466.00 Nuevos Soles, teniéndose como lance final de cada participante el siguiente:</w:t>
      </w:r>
    </w:p>
    <w:tbl>
      <w:tblPr>
        <w:tblpPr w:leftFromText="141" w:rightFromText="141" w:vertAnchor="text" w:horzAnchor="margin" w:tblpXSpec="center" w:tblpY="11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57"/>
        <w:gridCol w:w="3538"/>
        <w:gridCol w:w="1396"/>
        <w:gridCol w:w="1417"/>
      </w:tblGrid>
      <w:tr w:rsidR="00A1391B" w:rsidRPr="00A1391B" w:rsidTr="009D756F">
        <w:tc>
          <w:tcPr>
            <w:tcW w:w="75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Orden</w:t>
            </w:r>
          </w:p>
        </w:tc>
        <w:tc>
          <w:tcPr>
            <w:tcW w:w="3538"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Postor</w:t>
            </w:r>
          </w:p>
        </w:tc>
        <w:tc>
          <w:tcPr>
            <w:tcW w:w="1396"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Última Oferta</w:t>
            </w:r>
          </w:p>
        </w:tc>
        <w:tc>
          <w:tcPr>
            <w:tcW w:w="141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Valor Unitario</w:t>
            </w:r>
          </w:p>
        </w:tc>
      </w:tr>
      <w:tr w:rsidR="00A1391B" w:rsidRPr="00A1391B" w:rsidTr="009D756F">
        <w:tc>
          <w:tcPr>
            <w:tcW w:w="75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1</w:t>
            </w:r>
          </w:p>
        </w:tc>
        <w:tc>
          <w:tcPr>
            <w:tcW w:w="3538"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Inversiones Brown S.R.L.</w:t>
            </w:r>
          </w:p>
        </w:tc>
        <w:tc>
          <w:tcPr>
            <w:tcW w:w="1396"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16, 560.00</w:t>
            </w:r>
          </w:p>
        </w:tc>
        <w:tc>
          <w:tcPr>
            <w:tcW w:w="141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9.2</w:t>
            </w:r>
          </w:p>
        </w:tc>
      </w:tr>
      <w:tr w:rsidR="00A1391B" w:rsidRPr="00A1391B" w:rsidTr="009D756F">
        <w:tc>
          <w:tcPr>
            <w:tcW w:w="75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2</w:t>
            </w:r>
          </w:p>
        </w:tc>
        <w:tc>
          <w:tcPr>
            <w:tcW w:w="3538"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Pillaca Garaundo Nelly</w:t>
            </w:r>
          </w:p>
        </w:tc>
        <w:tc>
          <w:tcPr>
            <w:tcW w:w="1396"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19, 659.00</w:t>
            </w:r>
          </w:p>
        </w:tc>
        <w:tc>
          <w:tcPr>
            <w:tcW w:w="141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10.92</w:t>
            </w:r>
          </w:p>
        </w:tc>
      </w:tr>
      <w:tr w:rsidR="00A1391B" w:rsidRPr="00A1391B" w:rsidTr="009D756F">
        <w:tc>
          <w:tcPr>
            <w:tcW w:w="75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3</w:t>
            </w:r>
          </w:p>
        </w:tc>
        <w:tc>
          <w:tcPr>
            <w:tcW w:w="3538"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Negociaciones Cruz de Chalpon S.A.C.</w:t>
            </w:r>
          </w:p>
        </w:tc>
        <w:tc>
          <w:tcPr>
            <w:tcW w:w="1396"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20,466.00</w:t>
            </w:r>
          </w:p>
        </w:tc>
        <w:tc>
          <w:tcPr>
            <w:tcW w:w="1417" w:type="dxa"/>
            <w:vAlign w:val="center"/>
          </w:tcPr>
          <w:p w:rsidR="00A1391B" w:rsidRPr="00A1391B" w:rsidRDefault="00A1391B" w:rsidP="00A1391B">
            <w:pPr>
              <w:spacing w:after="0" w:line="240" w:lineRule="auto"/>
              <w:jc w:val="center"/>
              <w:rPr>
                <w:rFonts w:ascii="Tahoma" w:hAnsi="Tahoma" w:cs="Tahoma"/>
                <w:sz w:val="18"/>
                <w:szCs w:val="18"/>
              </w:rPr>
            </w:pPr>
            <w:r w:rsidRPr="00A1391B">
              <w:rPr>
                <w:rFonts w:ascii="Tahoma" w:hAnsi="Tahoma" w:cs="Tahoma"/>
                <w:sz w:val="18"/>
                <w:szCs w:val="18"/>
              </w:rPr>
              <w:t>11.37</w:t>
            </w:r>
          </w:p>
        </w:tc>
      </w:tr>
    </w:tbl>
    <w:p w:rsidR="00A1391B" w:rsidRPr="0018508F" w:rsidRDefault="00A1391B" w:rsidP="00A1391B">
      <w:pPr>
        <w:spacing w:after="0" w:line="240" w:lineRule="auto"/>
        <w:ind w:left="567"/>
        <w:jc w:val="both"/>
        <w:rPr>
          <w:rFonts w:ascii="Tahoma" w:hAnsi="Tahoma" w:cs="Tahoma"/>
          <w:sz w:val="20"/>
          <w:szCs w:val="20"/>
        </w:rPr>
      </w:pPr>
    </w:p>
    <w:p w:rsidR="00A1391B" w:rsidRPr="0018508F" w:rsidRDefault="00A1391B" w:rsidP="00A1391B">
      <w:pPr>
        <w:spacing w:after="0" w:line="240" w:lineRule="auto"/>
        <w:ind w:left="567"/>
        <w:jc w:val="both"/>
        <w:rPr>
          <w:rFonts w:ascii="Tahoma" w:hAnsi="Tahoma" w:cs="Tahoma"/>
          <w:sz w:val="20"/>
          <w:szCs w:val="20"/>
        </w:rPr>
      </w:pPr>
    </w:p>
    <w:p w:rsidR="00A1391B" w:rsidRDefault="00A1391B" w:rsidP="00A1391B">
      <w:pPr>
        <w:spacing w:after="0" w:line="240" w:lineRule="auto"/>
        <w:ind w:left="567"/>
        <w:jc w:val="both"/>
        <w:rPr>
          <w:rFonts w:ascii="Tahoma" w:hAnsi="Tahoma" w:cs="Tahoma"/>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Del cuadro descrito, se puede verificar que la oferta final presentada por el Postor Inversiones Brown S.R.L asciende a S/. 16, 560.00 nuevos soles, con un valor por galón a S/. 9.2 nuevos soles, precio que resulta inferior al valor unitario establecido en las Bases  el cual se estableció a 11.37 por galón.</w:t>
      </w:r>
    </w:p>
    <w:p w:rsidR="00A1391B" w:rsidRPr="00A1391B" w:rsidRDefault="00A1391B" w:rsidP="00A1391B">
      <w:pPr>
        <w:spacing w:after="0" w:line="240" w:lineRule="auto"/>
        <w:ind w:left="567"/>
        <w:jc w:val="both"/>
        <w:rPr>
          <w:rFonts w:ascii="Tahoma" w:hAnsi="Tahoma" w:cs="Tahoma"/>
          <w:i/>
          <w:iCs/>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i/>
          <w:iCs/>
          <w:sz w:val="20"/>
          <w:szCs w:val="20"/>
        </w:rPr>
      </w:pPr>
      <w:r w:rsidRPr="0018508F">
        <w:rPr>
          <w:rFonts w:ascii="Tahoma" w:hAnsi="Tahoma" w:cs="Tahoma"/>
          <w:sz w:val="20"/>
          <w:szCs w:val="20"/>
        </w:rPr>
        <w:t xml:space="preserve">Adicionalmente, al momento de presentar sus descargos, el Postor presentó copia de la Constancia de fecha 21 de junio de 2011, emitida por la empresa PETROAMERICA S.A. en la </w:t>
      </w:r>
      <w:r>
        <w:rPr>
          <w:rFonts w:ascii="Tahoma" w:hAnsi="Tahoma" w:cs="Tahoma"/>
          <w:sz w:val="20"/>
          <w:szCs w:val="20"/>
        </w:rPr>
        <w:t xml:space="preserve">que </w:t>
      </w:r>
      <w:r w:rsidRPr="0018508F">
        <w:rPr>
          <w:rFonts w:ascii="Tahoma" w:hAnsi="Tahoma" w:cs="Tahoma"/>
          <w:sz w:val="20"/>
          <w:szCs w:val="20"/>
        </w:rPr>
        <w:t xml:space="preserve">se indicó lo siguiente: </w:t>
      </w:r>
      <w:r w:rsidRPr="0018508F">
        <w:rPr>
          <w:rFonts w:ascii="Tahoma" w:hAnsi="Tahoma" w:cs="Tahoma"/>
          <w:i/>
          <w:iCs/>
          <w:sz w:val="20"/>
          <w:szCs w:val="20"/>
        </w:rPr>
        <w:t>“(…) Dejamos constancia que suministramos de combustible a nuestro cliente INVERSIONES BROWN S.R.L. con R.U.C. Nº 2050977021. Asimismo, el precio de planta del combustible Diesel B5 en el mes de noviembre de 2010 ascendía a S/. 10.18, incluido el IGV más el 1% de la percepción.”</w:t>
      </w:r>
    </w:p>
    <w:p w:rsidR="00A1391B" w:rsidRPr="0018508F" w:rsidRDefault="00A1391B" w:rsidP="00A1391B">
      <w:pPr>
        <w:pStyle w:val="Prrafodelista"/>
        <w:rPr>
          <w:rFonts w:ascii="Tahoma" w:hAnsi="Tahoma" w:cs="Tahoma"/>
          <w:i/>
          <w:iCs/>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De lo señalado anteriormente, se puede advertir la notable diferencia que existe entre el valor unitario del galón descrito en las bases administrativas (S/. 11.37), en el precio de compra descrito por la empresa PETROAMERICA (S/.10.18) y en el ultimo lance señalado por el Postor en la etapa de mejora de precios (S/. 9.2), el cual inclusive, está por debajo del valor por el cual adquiere a su propia empresa distribuidora.</w:t>
      </w:r>
    </w:p>
    <w:p w:rsidR="00A1391B" w:rsidRDefault="00A1391B" w:rsidP="00A1391B">
      <w:pPr>
        <w:spacing w:after="0" w:line="240" w:lineRule="auto"/>
        <w:ind w:left="567"/>
        <w:jc w:val="both"/>
        <w:rPr>
          <w:rFonts w:ascii="Tahoma" w:hAnsi="Tahoma" w:cs="Tahoma"/>
          <w:sz w:val="20"/>
          <w:szCs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Asimismo, se debe advertir que el monto ofertado por el Postor (S/.16, 560), era mucho menor que el monto ofertado por la empresa que ocupo el segundo lugar en el orden de prelación (S/. 19, 659.00), es decir, aproximadamente tres mil soles más a la propuesta que ofertó el Postor.</w:t>
      </w:r>
    </w:p>
    <w:p w:rsidR="00A1391B" w:rsidRPr="0018508F" w:rsidRDefault="00A1391B" w:rsidP="00A1391B">
      <w:pPr>
        <w:pStyle w:val="Prrafodelista"/>
        <w:rPr>
          <w:rFonts w:ascii="Tahoma" w:hAnsi="Tahoma" w:cs="Tahoma"/>
          <w:sz w:val="20"/>
        </w:rPr>
      </w:pPr>
    </w:p>
    <w:p w:rsidR="00A1391B"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 xml:space="preserve">De lo anterior, se ha podido verificar que el precio señalado como </w:t>
      </w:r>
      <w:r>
        <w:rPr>
          <w:rFonts w:ascii="Tahoma" w:hAnsi="Tahoma" w:cs="Tahoma"/>
          <w:sz w:val="20"/>
          <w:szCs w:val="20"/>
        </w:rPr>
        <w:t>ú</w:t>
      </w:r>
      <w:r w:rsidRPr="0018508F">
        <w:rPr>
          <w:rFonts w:ascii="Tahoma" w:hAnsi="Tahoma" w:cs="Tahoma"/>
          <w:sz w:val="20"/>
          <w:szCs w:val="20"/>
        </w:rPr>
        <w:t xml:space="preserve">ltimo lance en la etapa de mejora de precios por el Postor, </w:t>
      </w:r>
      <w:r w:rsidRPr="00B47449">
        <w:rPr>
          <w:rFonts w:ascii="Tahoma" w:hAnsi="Tahoma" w:cs="Tahoma"/>
          <w:sz w:val="20"/>
          <w:szCs w:val="20"/>
        </w:rPr>
        <w:t>difiere ostensiblemente del valor referencial señalado en las bases administrativas</w:t>
      </w:r>
      <w:r w:rsidRPr="0018508F">
        <w:rPr>
          <w:rFonts w:ascii="Tahoma" w:hAnsi="Tahoma" w:cs="Tahoma"/>
          <w:sz w:val="20"/>
          <w:szCs w:val="20"/>
        </w:rPr>
        <w:t xml:space="preserve">, de la propuesta económica más baja que le seguía, y del valor al cual le adquiere el combustible a su proveedor, por lo tanto, se puede advertir que efectivamente el Postor cometió error al momento de elaborar su propuesta económica, </w:t>
      </w:r>
      <w:r>
        <w:rPr>
          <w:rFonts w:ascii="Tahoma" w:hAnsi="Tahoma" w:cs="Tahoma"/>
          <w:sz w:val="20"/>
          <w:szCs w:val="20"/>
        </w:rPr>
        <w:t xml:space="preserve">pues no resulta coherente con el razonamiento de una empresa con fines lucrativos, el presentarse a un proceso de selección con la finalidad de verse perjudicado en su patrimonio, pues de vincularse con la Entidad a efectos de suministrar un servicio a pérdida, implicaría que el Postor asuma una prestación excesivamente onerosa, la cual, no es el objetivo previsto por la norma de contrataciones, en el entendido que ninguna interpretación legal pueda realizarse de </w:t>
      </w:r>
      <w:r>
        <w:rPr>
          <w:rFonts w:ascii="Tahoma" w:hAnsi="Tahoma" w:cs="Tahoma"/>
          <w:sz w:val="20"/>
          <w:szCs w:val="20"/>
        </w:rPr>
        <w:lastRenderedPageBreak/>
        <w:t xml:space="preserve">manera aislada a los hechos que se relaciona  y, de esta forma causarle perjuicio a un administrado. </w:t>
      </w:r>
    </w:p>
    <w:p w:rsidR="00A1391B"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Pr>
          <w:rFonts w:ascii="Tahoma" w:hAnsi="Tahoma" w:cs="Tahoma"/>
          <w:sz w:val="20"/>
          <w:szCs w:val="20"/>
        </w:rPr>
        <w:t xml:space="preserve">En relación a ello, debe </w:t>
      </w:r>
      <w:r w:rsidRPr="0018508F">
        <w:rPr>
          <w:rFonts w:ascii="Tahoma" w:hAnsi="Tahoma" w:cs="Tahoma"/>
          <w:sz w:val="20"/>
          <w:szCs w:val="20"/>
        </w:rPr>
        <w:t xml:space="preserve">tenerse en cuenta el principio de equidad recogido en el inciso l) del artículo 4 de la Ley, </w:t>
      </w:r>
      <w:r>
        <w:rPr>
          <w:rFonts w:ascii="Tahoma" w:hAnsi="Tahoma" w:cs="Tahoma"/>
          <w:sz w:val="20"/>
          <w:szCs w:val="20"/>
        </w:rPr>
        <w:t>que dispone en la relación de</w:t>
      </w:r>
      <w:r w:rsidRPr="0018508F">
        <w:rPr>
          <w:rFonts w:ascii="Tahoma" w:hAnsi="Tahoma" w:cs="Tahoma"/>
          <w:sz w:val="20"/>
          <w:szCs w:val="20"/>
        </w:rPr>
        <w:t xml:space="preserve"> las prestaciones</w:t>
      </w:r>
      <w:r>
        <w:rPr>
          <w:rFonts w:ascii="Tahoma" w:hAnsi="Tahoma" w:cs="Tahoma"/>
          <w:sz w:val="20"/>
          <w:szCs w:val="20"/>
        </w:rPr>
        <w:t xml:space="preserve"> y derechos de las partes la existencia de </w:t>
      </w:r>
      <w:r w:rsidRPr="0018508F">
        <w:rPr>
          <w:rFonts w:ascii="Tahoma" w:hAnsi="Tahoma" w:cs="Tahoma"/>
          <w:sz w:val="20"/>
          <w:szCs w:val="20"/>
        </w:rPr>
        <w:t>una razonable relación de equivalencia y proporcionalidad, sin perjuicio de las facultades que corresponden al Estado en la gestión del interés general.</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En efecto, cabe precisar que el Estado actúa sobre criterios de buena fe y en el entendido que en la contratación en general, las dos partes buscan salir beneficiadas al establecer una relación contractual, ambas deben guardar un equilibrio respecto de la ecuación económica entre sus obligaciones y derechos de tal modo que exista un equilibrio económico financiero.</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Es así que el Estado no busca salir favorecido desde su posición y prerrogativas a expensas de los errores de los postores o administrados, sino que busca una relación que implique beneficios para ambos, y no el aprovechamiento de una relación contractual que nace bajo un vicio en la declaración de voluntad del Postor, que en este caso específico, el desequilibrio es evidente.</w:t>
      </w:r>
    </w:p>
    <w:p w:rsidR="00A1391B" w:rsidRPr="0018508F" w:rsidRDefault="00A1391B" w:rsidP="00A1391B">
      <w:pPr>
        <w:pStyle w:val="Prrafodelista"/>
        <w:rPr>
          <w:rFonts w:ascii="Tahoma" w:hAnsi="Tahoma" w:cs="Tahoma"/>
          <w:sz w:val="20"/>
        </w:rPr>
      </w:pPr>
    </w:p>
    <w:p w:rsidR="00A1391B" w:rsidRPr="0018508F"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18508F">
        <w:rPr>
          <w:rFonts w:ascii="Tahoma" w:hAnsi="Tahoma" w:cs="Tahoma"/>
          <w:sz w:val="20"/>
          <w:szCs w:val="20"/>
        </w:rPr>
        <w:t>En este sentido, existiendo desequilibrio y desigualdad, la Entidad no puede obligar a un administrado a firmar contrato y a mantener su oferta bajo estas condiciones, pues eso implicaría un abuso del derecho, situación bajo la cual el titular de un derecho dirige contra la otra parte una exigencia que concuerda con la norma legal, pero que su ejercicio lesiona la buena fe y los fines sociales y económicos del Derecho.</w:t>
      </w:r>
    </w:p>
    <w:p w:rsidR="00A1391B" w:rsidRPr="0018508F" w:rsidRDefault="00A1391B" w:rsidP="00A1391B">
      <w:pPr>
        <w:pStyle w:val="Prrafodelista"/>
        <w:rPr>
          <w:rFonts w:ascii="Tahoma" w:hAnsi="Tahoma" w:cs="Tahoma"/>
          <w:sz w:val="20"/>
        </w:rPr>
      </w:pPr>
    </w:p>
    <w:p w:rsidR="00A1391B" w:rsidRPr="00B47449" w:rsidRDefault="00A1391B" w:rsidP="00A1391B">
      <w:pPr>
        <w:numPr>
          <w:ilvl w:val="0"/>
          <w:numId w:val="10"/>
        </w:numPr>
        <w:tabs>
          <w:tab w:val="clear" w:pos="360"/>
          <w:tab w:val="num" w:pos="567"/>
        </w:tabs>
        <w:spacing w:after="0" w:line="240" w:lineRule="auto"/>
        <w:ind w:left="567" w:hanging="567"/>
        <w:jc w:val="both"/>
        <w:rPr>
          <w:rFonts w:ascii="Tahoma" w:hAnsi="Tahoma" w:cs="Tahoma"/>
          <w:sz w:val="20"/>
          <w:szCs w:val="20"/>
        </w:rPr>
      </w:pPr>
      <w:r w:rsidRPr="00B47449">
        <w:rPr>
          <w:rFonts w:ascii="Tahoma" w:hAnsi="Tahoma" w:cs="Tahoma"/>
          <w:sz w:val="20"/>
          <w:szCs w:val="20"/>
        </w:rPr>
        <w:t>Por los argumentos expuestos, este colegiado considera que no corresponde imponer s</w:t>
      </w:r>
      <w:r>
        <w:rPr>
          <w:rFonts w:ascii="Tahoma" w:hAnsi="Tahoma" w:cs="Tahoma"/>
          <w:sz w:val="20"/>
          <w:szCs w:val="20"/>
        </w:rPr>
        <w:t>anción administrativa al Postor.</w:t>
      </w:r>
    </w:p>
    <w:p w:rsidR="00A1391B" w:rsidRDefault="00A1391B" w:rsidP="00A1391B">
      <w:pPr>
        <w:spacing w:after="0" w:line="240" w:lineRule="auto"/>
        <w:ind w:firstLine="567"/>
        <w:jc w:val="both"/>
        <w:rPr>
          <w:rFonts w:ascii="Tahoma" w:hAnsi="Tahoma" w:cs="Tahoma"/>
          <w:sz w:val="20"/>
          <w:szCs w:val="20"/>
        </w:rPr>
      </w:pPr>
    </w:p>
    <w:p w:rsidR="00D44493" w:rsidRPr="005C3F5D" w:rsidRDefault="00D44493" w:rsidP="00A1391B">
      <w:pPr>
        <w:spacing w:after="0" w:line="240" w:lineRule="auto"/>
        <w:ind w:firstLine="567"/>
        <w:jc w:val="both"/>
        <w:rPr>
          <w:rFonts w:ascii="Tahoma" w:hAnsi="Tahoma" w:cs="Tahoma"/>
          <w:sz w:val="20"/>
          <w:szCs w:val="20"/>
        </w:rPr>
      </w:pPr>
    </w:p>
    <w:p w:rsidR="00A1391B" w:rsidRPr="00A1391B" w:rsidRDefault="00A1391B" w:rsidP="00A1391B">
      <w:pPr>
        <w:spacing w:after="0" w:line="240" w:lineRule="auto"/>
        <w:ind w:left="-284" w:firstLine="360"/>
        <w:jc w:val="both"/>
        <w:rPr>
          <w:rFonts w:ascii="Tahoma" w:hAnsi="Tahoma" w:cs="Tahoma"/>
          <w:sz w:val="20"/>
          <w:szCs w:val="20"/>
        </w:rPr>
      </w:pPr>
      <w:r w:rsidRPr="00A1391B">
        <w:rPr>
          <w:rFonts w:ascii="Tahoma" w:eastAsiaTheme="minorHAnsi" w:hAnsi="Tahoma" w:cs="Tahoma"/>
          <w:color w:val="000000"/>
          <w:sz w:val="20"/>
          <w:szCs w:val="20"/>
        </w:rPr>
        <w:t xml:space="preserve">Por estos fundamentos, de conformidad con el informe de la Vocal Ponente Dra. </w:t>
      </w:r>
      <w:r w:rsidRPr="00A1391B">
        <w:rPr>
          <w:rFonts w:ascii="Tahoma" w:hAnsi="Tahoma" w:cs="Tahoma"/>
          <w:sz w:val="20"/>
          <w:szCs w:val="20"/>
        </w:rPr>
        <w:t>Janette Elke Ramírez Maynetto</w:t>
      </w:r>
      <w:r w:rsidRPr="00A1391B">
        <w:rPr>
          <w:rFonts w:ascii="Tahoma" w:eastAsiaTheme="minorHAnsi" w:hAnsi="Tahoma" w:cs="Tahoma"/>
          <w:color w:val="000000"/>
          <w:sz w:val="20"/>
          <w:szCs w:val="20"/>
        </w:rPr>
        <w:t xml:space="preserve"> y la intervención de las Vocales Dra. </w:t>
      </w:r>
      <w:r w:rsidRPr="00A1391B">
        <w:rPr>
          <w:rFonts w:ascii="Tahoma" w:eastAsiaTheme="minorHAnsi" w:hAnsi="Tahoma" w:cs="Tahoma"/>
          <w:bCs/>
          <w:color w:val="000000"/>
          <w:sz w:val="20"/>
          <w:szCs w:val="20"/>
        </w:rPr>
        <w:t>Patricia Seminario Zavala</w:t>
      </w:r>
      <w:r w:rsidRPr="00A1391B">
        <w:rPr>
          <w:rFonts w:ascii="Tahoma" w:eastAsiaTheme="minorHAnsi" w:hAnsi="Tahoma" w:cs="Tahoma"/>
          <w:b/>
          <w:bCs/>
          <w:color w:val="000000"/>
          <w:sz w:val="20"/>
          <w:szCs w:val="20"/>
        </w:rPr>
        <w:t xml:space="preserve"> </w:t>
      </w:r>
      <w:r w:rsidRPr="00A1391B">
        <w:rPr>
          <w:rFonts w:ascii="Tahoma" w:eastAsiaTheme="minorHAnsi" w:hAnsi="Tahoma" w:cs="Tahoma"/>
          <w:color w:val="000000"/>
          <w:sz w:val="20"/>
          <w:szCs w:val="20"/>
        </w:rPr>
        <w:t>y Dra. Ada Rosa Basulto Liewald; atendiendo a la reconformación de la Primera Sala del Tribunal de Contrataciones del Estado, según lo dispuesto en la Resolución Nº 103-2011-OSCE/PRE, expedida el 15 de febrero de 2011; la Resolución Nº 490-2011</w:t>
      </w:r>
      <w:r w:rsidR="00E87CC8">
        <w:rPr>
          <w:rFonts w:ascii="Tahoma" w:eastAsiaTheme="minorHAnsi" w:hAnsi="Tahoma" w:cs="Tahoma"/>
          <w:color w:val="000000"/>
          <w:sz w:val="20"/>
          <w:szCs w:val="20"/>
        </w:rPr>
        <w:t>-OSCE/PRE</w:t>
      </w:r>
      <w:r w:rsidRPr="00A1391B">
        <w:rPr>
          <w:rFonts w:ascii="Tahoma" w:eastAsiaTheme="minorHAnsi" w:hAnsi="Tahoma" w:cs="Tahoma"/>
          <w:color w:val="000000"/>
          <w:sz w:val="20"/>
          <w:szCs w:val="20"/>
        </w:rPr>
        <w:t xml:space="preserve"> del 01 de agosto del 2011 y el Acuerdo de Sala Plena Nº </w:t>
      </w:r>
      <w:r w:rsidRPr="00A1391B">
        <w:rPr>
          <w:rFonts w:ascii="Tahoma" w:eastAsiaTheme="minorHAnsi" w:hAnsi="Tahoma" w:cs="Tahoma"/>
          <w:bCs/>
          <w:color w:val="000000"/>
          <w:sz w:val="20"/>
          <w:szCs w:val="20"/>
        </w:rPr>
        <w:t>001/2011 de fecha 04 de abril del 2011</w:t>
      </w:r>
      <w:r w:rsidRPr="00A1391B">
        <w:rPr>
          <w:rFonts w:ascii="Tahoma" w:eastAsiaTheme="minorHAnsi" w:hAnsi="Tahoma" w:cs="Tahoma"/>
          <w:color w:val="000000"/>
          <w:sz w:val="20"/>
          <w:szCs w:val="20"/>
        </w:rPr>
        <w:t>, en ejercicio de las facultades conferidas en los artículos 51 y 63 de la Ley de Contrataciones del Estado, aprobada por Decreto Legislativo Nº 1017, y los artículos 17 y 18 del Reglamento de Organización y Funciones del OSCE, aprobado por Decreto Supremo Nº 006-2009-EF, analizados los antecedentes y luego de agotado el debate correspondiente, por unanimidad</w:t>
      </w:r>
      <w:r w:rsidRPr="00A1391B">
        <w:rPr>
          <w:rFonts w:ascii="Tahoma" w:hAnsi="Tahoma" w:cs="Tahoma"/>
          <w:sz w:val="20"/>
          <w:szCs w:val="20"/>
        </w:rPr>
        <w:t>;</w:t>
      </w:r>
    </w:p>
    <w:p w:rsidR="00A1391B" w:rsidRDefault="00A1391B" w:rsidP="00A1391B">
      <w:pPr>
        <w:spacing w:after="0" w:line="240" w:lineRule="auto"/>
        <w:jc w:val="both"/>
        <w:rPr>
          <w:rFonts w:ascii="Tahoma" w:hAnsi="Tahoma" w:cs="Tahoma"/>
          <w:sz w:val="20"/>
          <w:szCs w:val="20"/>
        </w:rPr>
      </w:pPr>
    </w:p>
    <w:p w:rsidR="00D44493" w:rsidRPr="00A1391B" w:rsidRDefault="00D44493" w:rsidP="00A1391B">
      <w:pPr>
        <w:spacing w:after="0" w:line="240" w:lineRule="auto"/>
        <w:jc w:val="both"/>
        <w:rPr>
          <w:rFonts w:ascii="Tahoma" w:hAnsi="Tahoma" w:cs="Tahoma"/>
          <w:sz w:val="20"/>
          <w:szCs w:val="20"/>
        </w:rPr>
      </w:pPr>
    </w:p>
    <w:p w:rsidR="00A1391B" w:rsidRPr="005C3F5D" w:rsidRDefault="00A1391B" w:rsidP="00A1391B">
      <w:pPr>
        <w:spacing w:after="0" w:line="240" w:lineRule="auto"/>
        <w:ind w:right="-315"/>
        <w:jc w:val="both"/>
        <w:rPr>
          <w:rFonts w:ascii="Tahoma" w:hAnsi="Tahoma" w:cs="Tahoma"/>
          <w:b/>
          <w:sz w:val="20"/>
          <w:szCs w:val="20"/>
        </w:rPr>
      </w:pPr>
      <w:r w:rsidRPr="005C3F5D">
        <w:rPr>
          <w:rFonts w:ascii="Tahoma" w:hAnsi="Tahoma" w:cs="Tahoma"/>
          <w:b/>
          <w:sz w:val="20"/>
          <w:szCs w:val="20"/>
        </w:rPr>
        <w:t>LA SALA RESUELVE:</w:t>
      </w:r>
    </w:p>
    <w:p w:rsidR="00A1391B" w:rsidRDefault="00A1391B" w:rsidP="00A1391B">
      <w:pPr>
        <w:spacing w:after="0" w:line="240" w:lineRule="auto"/>
        <w:rPr>
          <w:rFonts w:ascii="Tahoma" w:hAnsi="Tahoma" w:cs="Tahoma"/>
          <w:b/>
          <w:bCs/>
          <w:shadow/>
          <w:sz w:val="20"/>
          <w:szCs w:val="20"/>
        </w:rPr>
      </w:pPr>
    </w:p>
    <w:p w:rsidR="00D44493" w:rsidRPr="0018508F" w:rsidRDefault="00D44493" w:rsidP="00A1391B">
      <w:pPr>
        <w:spacing w:after="0" w:line="240" w:lineRule="auto"/>
        <w:rPr>
          <w:rFonts w:ascii="Tahoma" w:hAnsi="Tahoma" w:cs="Tahoma"/>
          <w:b/>
          <w:bCs/>
          <w:shadow/>
          <w:sz w:val="20"/>
          <w:szCs w:val="20"/>
        </w:rPr>
      </w:pPr>
    </w:p>
    <w:p w:rsidR="00A1391B" w:rsidRPr="0018508F" w:rsidRDefault="00A1391B" w:rsidP="00A1391B">
      <w:pPr>
        <w:numPr>
          <w:ilvl w:val="0"/>
          <w:numId w:val="12"/>
        </w:numPr>
        <w:tabs>
          <w:tab w:val="clear" w:pos="720"/>
          <w:tab w:val="num" w:pos="360"/>
        </w:tabs>
        <w:spacing w:after="0" w:line="240" w:lineRule="auto"/>
        <w:ind w:left="360"/>
        <w:jc w:val="both"/>
        <w:rPr>
          <w:rFonts w:ascii="Tahoma" w:hAnsi="Tahoma" w:cs="Tahoma"/>
          <w:sz w:val="20"/>
          <w:szCs w:val="20"/>
        </w:rPr>
      </w:pPr>
      <w:r w:rsidRPr="0018508F">
        <w:rPr>
          <w:rFonts w:ascii="Tahoma" w:hAnsi="Tahoma" w:cs="Tahoma"/>
          <w:sz w:val="20"/>
          <w:szCs w:val="20"/>
        </w:rPr>
        <w:t>No ha lugar a la aplicación de sanción a la empresa</w:t>
      </w:r>
      <w:r>
        <w:rPr>
          <w:rFonts w:ascii="Tahoma" w:hAnsi="Tahoma" w:cs="Tahoma"/>
          <w:sz w:val="20"/>
          <w:szCs w:val="20"/>
        </w:rPr>
        <w:t xml:space="preserve"> INVERSIONES BROWN S.R.L.</w:t>
      </w:r>
      <w:r w:rsidRPr="0018508F">
        <w:rPr>
          <w:rFonts w:ascii="Tahoma" w:hAnsi="Tahoma" w:cs="Tahoma"/>
          <w:sz w:val="20"/>
          <w:szCs w:val="20"/>
        </w:rPr>
        <w:t xml:space="preserve"> por supuesta responsabilidad en la infracción tipificada en el numeral 51.1 literal a) del artículo 51 de la Ley de Contrataciones del Estado y en el numeral 1 literal a) del artículo </w:t>
      </w:r>
      <w:r w:rsidRPr="0018508F">
        <w:rPr>
          <w:rFonts w:ascii="Tahoma" w:hAnsi="Tahoma" w:cs="Tahoma"/>
          <w:sz w:val="20"/>
          <w:szCs w:val="20"/>
        </w:rPr>
        <w:lastRenderedPageBreak/>
        <w:t>237 del Reglamento de la Ley, aprobado por Decreto Legislativo Nº 1017, por los fundamentos expuestos.</w:t>
      </w: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pStyle w:val="Ttulo3"/>
        <w:spacing w:before="0" w:after="0" w:line="240" w:lineRule="auto"/>
        <w:jc w:val="both"/>
        <w:rPr>
          <w:rFonts w:ascii="Tahoma" w:hAnsi="Tahoma" w:cs="Tahoma"/>
          <w:b w:val="0"/>
          <w:bCs w:val="0"/>
          <w:sz w:val="20"/>
          <w:szCs w:val="20"/>
        </w:rPr>
      </w:pPr>
      <w:r w:rsidRPr="005C3F5D">
        <w:rPr>
          <w:rFonts w:ascii="Tahoma" w:hAnsi="Tahoma" w:cs="Tahoma"/>
          <w:b w:val="0"/>
          <w:sz w:val="20"/>
          <w:szCs w:val="20"/>
        </w:rPr>
        <w:t>Regístrese, comuníquese y publíquese.</w:t>
      </w: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ind w:left="2832" w:firstLine="708"/>
        <w:jc w:val="both"/>
        <w:rPr>
          <w:rFonts w:ascii="Tahoma" w:hAnsi="Tahoma" w:cs="Tahoma"/>
          <w:b/>
          <w:shadow/>
          <w:sz w:val="20"/>
          <w:szCs w:val="20"/>
        </w:rPr>
      </w:pPr>
      <w:r w:rsidRPr="005C3F5D">
        <w:rPr>
          <w:rFonts w:ascii="Tahoma" w:hAnsi="Tahoma" w:cs="Tahoma"/>
          <w:b/>
          <w:shadow/>
          <w:sz w:val="20"/>
          <w:szCs w:val="20"/>
        </w:rPr>
        <w:t>PRESIDENTE</w:t>
      </w: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jc w:val="both"/>
        <w:rPr>
          <w:rFonts w:ascii="Tahoma" w:hAnsi="Tahoma" w:cs="Tahoma"/>
          <w:b/>
          <w:shadow/>
          <w:sz w:val="20"/>
          <w:szCs w:val="20"/>
        </w:rPr>
      </w:pPr>
    </w:p>
    <w:p w:rsidR="00A1391B" w:rsidRPr="005C3F5D" w:rsidRDefault="00A1391B" w:rsidP="00A1391B">
      <w:pPr>
        <w:spacing w:after="0" w:line="240" w:lineRule="auto"/>
        <w:jc w:val="both"/>
        <w:rPr>
          <w:rFonts w:ascii="Tahoma" w:hAnsi="Tahoma" w:cs="Tahoma"/>
          <w:shadow/>
          <w:sz w:val="20"/>
          <w:szCs w:val="20"/>
        </w:rPr>
      </w:pPr>
      <w:r w:rsidRPr="005C3F5D">
        <w:rPr>
          <w:rFonts w:ascii="Tahoma" w:hAnsi="Tahoma" w:cs="Tahoma"/>
          <w:b/>
          <w:shadow/>
          <w:sz w:val="20"/>
          <w:szCs w:val="20"/>
        </w:rPr>
        <w:t xml:space="preserve">                  VOCAL</w:t>
      </w:r>
      <w:r w:rsidRPr="005C3F5D">
        <w:rPr>
          <w:rFonts w:ascii="Tahoma" w:hAnsi="Tahoma" w:cs="Tahoma"/>
          <w:b/>
          <w:shadow/>
          <w:sz w:val="20"/>
          <w:szCs w:val="20"/>
        </w:rPr>
        <w:tab/>
      </w:r>
      <w:r w:rsidRPr="005C3F5D">
        <w:rPr>
          <w:rFonts w:ascii="Tahoma" w:hAnsi="Tahoma" w:cs="Tahoma"/>
          <w:b/>
          <w:shadow/>
          <w:sz w:val="20"/>
          <w:szCs w:val="20"/>
        </w:rPr>
        <w:tab/>
      </w:r>
      <w:r w:rsidRPr="005C3F5D">
        <w:rPr>
          <w:rFonts w:ascii="Tahoma" w:hAnsi="Tahoma" w:cs="Tahoma"/>
          <w:b/>
          <w:shadow/>
          <w:sz w:val="20"/>
          <w:szCs w:val="20"/>
        </w:rPr>
        <w:tab/>
      </w:r>
      <w:r w:rsidRPr="005C3F5D">
        <w:rPr>
          <w:rFonts w:ascii="Tahoma" w:hAnsi="Tahoma" w:cs="Tahoma"/>
          <w:b/>
          <w:shadow/>
          <w:sz w:val="20"/>
          <w:szCs w:val="20"/>
        </w:rPr>
        <w:tab/>
      </w:r>
      <w:r w:rsidRPr="005C3F5D">
        <w:rPr>
          <w:rFonts w:ascii="Tahoma" w:hAnsi="Tahoma" w:cs="Tahoma"/>
          <w:b/>
          <w:shadow/>
          <w:sz w:val="20"/>
          <w:szCs w:val="20"/>
        </w:rPr>
        <w:tab/>
      </w:r>
      <w:r w:rsidRPr="005C3F5D">
        <w:rPr>
          <w:rFonts w:ascii="Tahoma" w:hAnsi="Tahoma" w:cs="Tahoma"/>
          <w:b/>
          <w:shadow/>
          <w:sz w:val="20"/>
          <w:szCs w:val="20"/>
        </w:rPr>
        <w:tab/>
      </w:r>
      <w:r w:rsidRPr="005C3F5D">
        <w:rPr>
          <w:rFonts w:ascii="Tahoma" w:hAnsi="Tahoma" w:cs="Tahoma"/>
          <w:b/>
          <w:shadow/>
          <w:sz w:val="20"/>
          <w:szCs w:val="20"/>
        </w:rPr>
        <w:tab/>
      </w:r>
      <w:r w:rsidRPr="005C3F5D">
        <w:rPr>
          <w:rFonts w:ascii="Tahoma" w:hAnsi="Tahoma" w:cs="Tahoma"/>
          <w:b/>
          <w:shadow/>
          <w:sz w:val="20"/>
          <w:szCs w:val="20"/>
        </w:rPr>
        <w:tab/>
        <w:t xml:space="preserve">VOCAL                                                                 </w:t>
      </w: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r w:rsidRPr="005C3F5D">
        <w:rPr>
          <w:rFonts w:ascii="Tahoma" w:hAnsi="Tahoma" w:cs="Tahoma"/>
          <w:sz w:val="20"/>
          <w:szCs w:val="20"/>
        </w:rPr>
        <w:t>ss.</w:t>
      </w:r>
    </w:p>
    <w:p w:rsidR="00A1391B" w:rsidRPr="005C3F5D" w:rsidRDefault="00D44493" w:rsidP="00A1391B">
      <w:pPr>
        <w:spacing w:after="0" w:line="240" w:lineRule="auto"/>
        <w:jc w:val="both"/>
        <w:rPr>
          <w:rFonts w:ascii="Tahoma" w:hAnsi="Tahoma" w:cs="Tahoma"/>
          <w:sz w:val="20"/>
          <w:szCs w:val="20"/>
        </w:rPr>
      </w:pPr>
      <w:r w:rsidRPr="00A1391B">
        <w:rPr>
          <w:rFonts w:ascii="Tahoma" w:eastAsiaTheme="minorHAnsi" w:hAnsi="Tahoma" w:cs="Tahoma"/>
          <w:bCs/>
          <w:color w:val="000000"/>
          <w:sz w:val="20"/>
          <w:szCs w:val="20"/>
        </w:rPr>
        <w:t>Seminario Zavala</w:t>
      </w:r>
      <w:r w:rsidR="00A1391B" w:rsidRPr="005C3F5D">
        <w:rPr>
          <w:rFonts w:ascii="Tahoma" w:hAnsi="Tahoma" w:cs="Tahoma"/>
          <w:sz w:val="20"/>
          <w:szCs w:val="20"/>
        </w:rPr>
        <w:t>,</w:t>
      </w:r>
    </w:p>
    <w:p w:rsidR="00A1391B" w:rsidRPr="005C3F5D" w:rsidRDefault="00A1391B" w:rsidP="00A1391B">
      <w:pPr>
        <w:spacing w:after="0" w:line="240" w:lineRule="auto"/>
        <w:jc w:val="both"/>
        <w:rPr>
          <w:rFonts w:ascii="Tahoma" w:hAnsi="Tahoma" w:cs="Tahoma"/>
          <w:sz w:val="20"/>
          <w:szCs w:val="20"/>
        </w:rPr>
      </w:pPr>
      <w:r w:rsidRPr="005C3F5D">
        <w:rPr>
          <w:rFonts w:ascii="Tahoma" w:hAnsi="Tahoma" w:cs="Tahoma"/>
          <w:sz w:val="20"/>
          <w:szCs w:val="20"/>
        </w:rPr>
        <w:t>Ramírez Maynetto,</w:t>
      </w:r>
    </w:p>
    <w:p w:rsidR="00A1391B" w:rsidRPr="005C3F5D" w:rsidRDefault="00A1391B" w:rsidP="00A1391B">
      <w:pPr>
        <w:spacing w:after="0" w:line="240" w:lineRule="auto"/>
        <w:jc w:val="both"/>
        <w:rPr>
          <w:rFonts w:ascii="Tahoma" w:hAnsi="Tahoma" w:cs="Tahoma"/>
          <w:sz w:val="20"/>
          <w:szCs w:val="20"/>
        </w:rPr>
      </w:pPr>
      <w:r w:rsidRPr="005C3F5D">
        <w:rPr>
          <w:rFonts w:ascii="Tahoma" w:hAnsi="Tahoma" w:cs="Tahoma"/>
          <w:sz w:val="20"/>
          <w:szCs w:val="20"/>
        </w:rPr>
        <w:t>Basulto Liewald.</w:t>
      </w: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A1391B" w:rsidRPr="005C3F5D" w:rsidRDefault="00A1391B" w:rsidP="00A1391B">
      <w:pPr>
        <w:spacing w:after="0" w:line="240" w:lineRule="auto"/>
        <w:jc w:val="both"/>
        <w:rPr>
          <w:rFonts w:ascii="Tahoma" w:hAnsi="Tahoma" w:cs="Tahoma"/>
          <w:sz w:val="20"/>
          <w:szCs w:val="20"/>
        </w:rPr>
      </w:pPr>
    </w:p>
    <w:p w:rsidR="00260F0B" w:rsidRDefault="009362AB" w:rsidP="00A1391B">
      <w:pPr>
        <w:spacing w:after="0" w:line="240" w:lineRule="auto"/>
      </w:pPr>
    </w:p>
    <w:sectPr w:rsidR="00260F0B" w:rsidSect="00A1391B">
      <w:headerReference w:type="default" r:id="rId7"/>
      <w:footerReference w:type="default" r:id="rId8"/>
      <w:pgSz w:w="11906" w:h="16838"/>
      <w:pgMar w:top="2836" w:right="1700"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2AB" w:rsidRDefault="009362AB" w:rsidP="00A1391B">
      <w:pPr>
        <w:spacing w:after="0" w:line="240" w:lineRule="auto"/>
      </w:pPr>
      <w:r>
        <w:separator/>
      </w:r>
    </w:p>
  </w:endnote>
  <w:endnote w:type="continuationSeparator" w:id="1">
    <w:p w:rsidR="009362AB" w:rsidRDefault="009362AB" w:rsidP="00A139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6A7198">
    <w:pPr>
      <w:pStyle w:val="Piedepgina"/>
      <w:jc w:val="center"/>
      <w:rPr>
        <w:rFonts w:ascii="Tahoma" w:hAnsi="Tahoma" w:cs="Tahoma"/>
        <w:i/>
        <w:sz w:val="18"/>
        <w:szCs w:val="18"/>
      </w:rPr>
    </w:pPr>
    <w:r w:rsidRPr="00FD5A0C">
      <w:rPr>
        <w:rFonts w:ascii="Tahoma" w:hAnsi="Tahoma" w:cs="Tahoma"/>
        <w:i/>
        <w:sz w:val="18"/>
        <w:szCs w:val="18"/>
      </w:rPr>
      <w:t xml:space="preserve">Página </w:t>
    </w:r>
    <w:r w:rsidR="00FF0AF6" w:rsidRPr="00FD5A0C">
      <w:rPr>
        <w:rFonts w:ascii="Tahoma" w:hAnsi="Tahoma" w:cs="Tahoma"/>
        <w:i/>
        <w:sz w:val="18"/>
        <w:szCs w:val="18"/>
      </w:rPr>
      <w:fldChar w:fldCharType="begin"/>
    </w:r>
    <w:r w:rsidRPr="00FD5A0C">
      <w:rPr>
        <w:rFonts w:ascii="Tahoma" w:hAnsi="Tahoma" w:cs="Tahoma"/>
        <w:i/>
        <w:sz w:val="18"/>
        <w:szCs w:val="18"/>
      </w:rPr>
      <w:instrText>PAGE</w:instrText>
    </w:r>
    <w:r w:rsidR="00FF0AF6" w:rsidRPr="00FD5A0C">
      <w:rPr>
        <w:rFonts w:ascii="Tahoma" w:hAnsi="Tahoma" w:cs="Tahoma"/>
        <w:i/>
        <w:sz w:val="18"/>
        <w:szCs w:val="18"/>
      </w:rPr>
      <w:fldChar w:fldCharType="separate"/>
    </w:r>
    <w:r w:rsidR="0093370D">
      <w:rPr>
        <w:rFonts w:ascii="Tahoma" w:hAnsi="Tahoma" w:cs="Tahoma"/>
        <w:i/>
        <w:noProof/>
        <w:sz w:val="18"/>
        <w:szCs w:val="18"/>
      </w:rPr>
      <w:t>1</w:t>
    </w:r>
    <w:r w:rsidR="00FF0AF6" w:rsidRPr="00FD5A0C">
      <w:rPr>
        <w:rFonts w:ascii="Tahoma" w:hAnsi="Tahoma" w:cs="Tahoma"/>
        <w:i/>
        <w:sz w:val="18"/>
        <w:szCs w:val="18"/>
      </w:rPr>
      <w:fldChar w:fldCharType="end"/>
    </w:r>
    <w:r w:rsidRPr="00FD5A0C">
      <w:rPr>
        <w:rFonts w:ascii="Tahoma" w:hAnsi="Tahoma" w:cs="Tahoma"/>
        <w:i/>
        <w:sz w:val="18"/>
        <w:szCs w:val="18"/>
      </w:rPr>
      <w:t xml:space="preserve"> de </w:t>
    </w:r>
    <w:r w:rsidR="00FF0AF6" w:rsidRPr="00FD5A0C">
      <w:rPr>
        <w:rFonts w:ascii="Tahoma" w:hAnsi="Tahoma" w:cs="Tahoma"/>
        <w:i/>
        <w:sz w:val="18"/>
        <w:szCs w:val="18"/>
      </w:rPr>
      <w:fldChar w:fldCharType="begin"/>
    </w:r>
    <w:r w:rsidRPr="00FD5A0C">
      <w:rPr>
        <w:rFonts w:ascii="Tahoma" w:hAnsi="Tahoma" w:cs="Tahoma"/>
        <w:i/>
        <w:sz w:val="18"/>
        <w:szCs w:val="18"/>
      </w:rPr>
      <w:instrText>NUMPAGES</w:instrText>
    </w:r>
    <w:r w:rsidR="00FF0AF6" w:rsidRPr="00FD5A0C">
      <w:rPr>
        <w:rFonts w:ascii="Tahoma" w:hAnsi="Tahoma" w:cs="Tahoma"/>
        <w:i/>
        <w:sz w:val="18"/>
        <w:szCs w:val="18"/>
      </w:rPr>
      <w:fldChar w:fldCharType="separate"/>
    </w:r>
    <w:r w:rsidR="0093370D">
      <w:rPr>
        <w:rFonts w:ascii="Tahoma" w:hAnsi="Tahoma" w:cs="Tahoma"/>
        <w:i/>
        <w:noProof/>
        <w:sz w:val="18"/>
        <w:szCs w:val="18"/>
      </w:rPr>
      <w:t>8</w:t>
    </w:r>
    <w:r w:rsidR="00FF0AF6" w:rsidRPr="00FD5A0C">
      <w:rPr>
        <w:rFonts w:ascii="Tahoma" w:hAnsi="Tahoma" w:cs="Tahoma"/>
        <w:i/>
        <w:sz w:val="18"/>
        <w:szCs w:val="18"/>
      </w:rPr>
      <w:fldChar w:fldCharType="end"/>
    </w:r>
  </w:p>
  <w:p w:rsidR="003A110E" w:rsidRDefault="009362A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2AB" w:rsidRDefault="009362AB" w:rsidP="00A1391B">
      <w:pPr>
        <w:spacing w:after="0" w:line="240" w:lineRule="auto"/>
      </w:pPr>
      <w:r>
        <w:separator/>
      </w:r>
    </w:p>
  </w:footnote>
  <w:footnote w:type="continuationSeparator" w:id="1">
    <w:p w:rsidR="009362AB" w:rsidRDefault="009362AB" w:rsidP="00A1391B">
      <w:pPr>
        <w:spacing w:after="0" w:line="240" w:lineRule="auto"/>
      </w:pPr>
      <w:r>
        <w:continuationSeparator/>
      </w:r>
    </w:p>
  </w:footnote>
  <w:footnote w:id="2">
    <w:p w:rsidR="00A1391B" w:rsidRPr="00146CE9" w:rsidRDefault="00A1391B" w:rsidP="00A1391B">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rPr>
          <w:b/>
          <w:bCs/>
          <w:sz w:val="16"/>
          <w:szCs w:val="16"/>
          <w:lang w:val="es-ES_tradnl"/>
        </w:rPr>
      </w:pPr>
      <w:r w:rsidRPr="00C26379">
        <w:rPr>
          <w:rStyle w:val="Refdenotaalpie"/>
          <w:rFonts w:ascii="Times New Roman" w:hAnsi="Times New Roman" w:cs="Times New Roman"/>
          <w:i/>
          <w:iCs/>
        </w:rPr>
        <w:footnoteRef/>
      </w:r>
      <w:r w:rsidRPr="00C26379">
        <w:rPr>
          <w:rFonts w:ascii="Times New Roman" w:hAnsi="Times New Roman" w:cs="Times New Roman"/>
          <w:i/>
          <w:iCs/>
        </w:rPr>
        <w:t xml:space="preserve"> </w:t>
      </w:r>
      <w:r w:rsidRPr="00146CE9">
        <w:rPr>
          <w:b/>
          <w:bCs/>
          <w:sz w:val="16"/>
          <w:szCs w:val="16"/>
          <w:lang w:val="es-ES_tradnl"/>
        </w:rPr>
        <w:t>Artículo 51.- Infracciones y sanciones administrativas</w:t>
      </w:r>
    </w:p>
    <w:p w:rsidR="00A1391B" w:rsidRPr="00146CE9" w:rsidRDefault="00A1391B" w:rsidP="00A1391B">
      <w:pPr>
        <w:pStyle w:val="Textonotapie"/>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bCs/>
          <w:sz w:val="16"/>
          <w:szCs w:val="16"/>
          <w:lang w:val="es-ES_tradnl"/>
        </w:rPr>
      </w:pPr>
      <w:r w:rsidRPr="00146CE9">
        <w:rPr>
          <w:b/>
          <w:bCs/>
          <w:sz w:val="16"/>
          <w:szCs w:val="16"/>
          <w:lang w:val="es-ES_tradnl"/>
        </w:rPr>
        <w:t>1. Infracciones:</w:t>
      </w:r>
    </w:p>
    <w:p w:rsidR="00A1391B" w:rsidRPr="00146CE9" w:rsidRDefault="00A1391B" w:rsidP="00A1391B">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851"/>
        <w:rPr>
          <w:sz w:val="16"/>
          <w:szCs w:val="16"/>
          <w:lang w:val="es-ES_tradnl"/>
        </w:rPr>
      </w:pPr>
      <w:r w:rsidRPr="00146CE9">
        <w:rPr>
          <w:rFonts w:cs="Times New Roman"/>
          <w:sz w:val="16"/>
          <w:szCs w:val="16"/>
          <w:lang w:val="es-ES_tradnl"/>
        </w:rPr>
        <w:tab/>
      </w:r>
      <w:r w:rsidRPr="00146CE9">
        <w:rPr>
          <w:sz w:val="16"/>
          <w:szCs w:val="16"/>
          <w:lang w:val="es-ES_tradnl"/>
        </w:rPr>
        <w:t>Se impondrá sanción administrativa a los proveedores, participantes, postores y/o contratistas que:</w:t>
      </w:r>
    </w:p>
    <w:p w:rsidR="00A1391B" w:rsidRPr="00146CE9" w:rsidRDefault="00A1391B" w:rsidP="00A1391B">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142"/>
        <w:rPr>
          <w:sz w:val="16"/>
          <w:szCs w:val="16"/>
          <w:lang w:val="es-ES_tradnl"/>
        </w:rPr>
      </w:pPr>
      <w:r w:rsidRPr="00146CE9">
        <w:rPr>
          <w:rFonts w:cs="Times New Roman"/>
          <w:sz w:val="16"/>
          <w:szCs w:val="16"/>
          <w:lang w:val="es-ES_tradnl"/>
        </w:rPr>
        <w:tab/>
      </w:r>
      <w:r w:rsidRPr="00146CE9">
        <w:rPr>
          <w:sz w:val="16"/>
          <w:szCs w:val="16"/>
          <w:lang w:val="es-ES_tradnl"/>
        </w:rPr>
        <w:t>[…]a) No mantengan su oferta hasta el consentimiento de la Buena Pro o, de resultar ganadores hasta la suscripción del contrato, no suscriban injustificadamente el contrato, o no reciban injustificadamente la orden de compra o de servicio emitida a su favor.</w:t>
      </w:r>
    </w:p>
    <w:p w:rsidR="00A1391B" w:rsidRPr="00146CE9" w:rsidRDefault="00A1391B" w:rsidP="00A1391B">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lang w:val="es-ES_tradnl"/>
        </w:rPr>
      </w:pPr>
      <w:r w:rsidRPr="00146CE9">
        <w:rPr>
          <w:sz w:val="16"/>
          <w:szCs w:val="16"/>
          <w:lang w:val="es-ES_tradnl"/>
        </w:rPr>
        <w:t xml:space="preserve">              […]</w:t>
      </w:r>
    </w:p>
    <w:p w:rsidR="00A1391B" w:rsidRDefault="00A1391B" w:rsidP="00A1391B">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lang w:val="es-ES_tradnl"/>
        </w:rPr>
      </w:pPr>
    </w:p>
    <w:p w:rsidR="00A1391B" w:rsidRDefault="00A1391B" w:rsidP="00A1391B">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rPr>
      </w:pPr>
    </w:p>
  </w:footnote>
  <w:footnote w:id="3">
    <w:p w:rsidR="00A1391B" w:rsidRPr="005A7484" w:rsidRDefault="00A1391B" w:rsidP="00A1391B">
      <w:pPr>
        <w:pStyle w:val="Textonotapie"/>
        <w:rPr>
          <w:b/>
          <w:bCs/>
          <w:sz w:val="18"/>
          <w:szCs w:val="18"/>
        </w:rPr>
      </w:pPr>
      <w:r w:rsidRPr="00CB0660">
        <w:rPr>
          <w:rStyle w:val="Refdenotaalpie"/>
          <w:rFonts w:cs="Times New Roman"/>
          <w:sz w:val="18"/>
          <w:szCs w:val="18"/>
        </w:rPr>
        <w:footnoteRef/>
      </w:r>
      <w:r w:rsidRPr="00CB0660">
        <w:rPr>
          <w:sz w:val="18"/>
          <w:szCs w:val="18"/>
        </w:rPr>
        <w:t xml:space="preserve"> </w:t>
      </w:r>
      <w:r w:rsidRPr="005A7484">
        <w:rPr>
          <w:b/>
          <w:bCs/>
          <w:sz w:val="18"/>
          <w:szCs w:val="18"/>
        </w:rPr>
        <w:t>5.14 Formalización del contrato</w:t>
      </w:r>
    </w:p>
    <w:p w:rsidR="00A1391B" w:rsidRPr="005A7484" w:rsidRDefault="00A1391B" w:rsidP="00A1391B">
      <w:pPr>
        <w:pStyle w:val="Textonotapie"/>
        <w:rPr>
          <w:sz w:val="18"/>
          <w:szCs w:val="18"/>
        </w:rPr>
      </w:pPr>
      <w:r w:rsidRPr="005A7484">
        <w:rPr>
          <w:sz w:val="18"/>
          <w:szCs w:val="18"/>
        </w:rPr>
        <w:t>Para la formalización y ejecución del contrato se aplicarán todas las reglas, requisitos, plazos, condiciones, formalidades, exigencias y garantías establecidos en el Título III Ejecución Contractual del Reglamento.</w:t>
      </w:r>
    </w:p>
    <w:p w:rsidR="00A1391B" w:rsidRDefault="00A1391B" w:rsidP="00A1391B">
      <w:pPr>
        <w:pStyle w:val="Textonotapie"/>
        <w:rPr>
          <w:rFonts w:cs="Times New Roman"/>
        </w:rPr>
      </w:pPr>
    </w:p>
  </w:footnote>
  <w:footnote w:id="4">
    <w:p w:rsidR="00A1391B" w:rsidRPr="00D44493" w:rsidRDefault="00A1391B" w:rsidP="00A1391B">
      <w:pPr>
        <w:jc w:val="both"/>
        <w:rPr>
          <w:rFonts w:ascii="Tahoma" w:hAnsi="Tahoma" w:cs="Tahoma"/>
          <w:b/>
          <w:bCs/>
          <w:sz w:val="16"/>
          <w:szCs w:val="16"/>
        </w:rPr>
      </w:pPr>
      <w:r w:rsidRPr="00A261D8">
        <w:rPr>
          <w:rStyle w:val="Refdenotaalpie"/>
          <w:rFonts w:ascii="Tahoma" w:hAnsi="Tahoma" w:cs="Tahoma"/>
          <w:sz w:val="18"/>
          <w:szCs w:val="18"/>
        </w:rPr>
        <w:footnoteRef/>
      </w:r>
      <w:r w:rsidRPr="00A261D8">
        <w:rPr>
          <w:rFonts w:ascii="Tahoma" w:hAnsi="Tahoma" w:cs="Tahoma"/>
          <w:sz w:val="18"/>
          <w:szCs w:val="18"/>
        </w:rPr>
        <w:t xml:space="preserve"> </w:t>
      </w:r>
      <w:r w:rsidRPr="00D44493">
        <w:rPr>
          <w:rFonts w:ascii="Tahoma" w:hAnsi="Tahoma" w:cs="Tahoma"/>
          <w:b/>
          <w:bCs/>
          <w:sz w:val="16"/>
          <w:szCs w:val="16"/>
        </w:rPr>
        <w:t>Artículo 96.- Particularidades de la Subasta Inversa Electrónica</w:t>
      </w:r>
    </w:p>
    <w:p w:rsidR="00A1391B" w:rsidRPr="00D44493" w:rsidRDefault="00A1391B" w:rsidP="00A1391B">
      <w:pPr>
        <w:pStyle w:val="Textonotapie"/>
        <w:rPr>
          <w:sz w:val="16"/>
          <w:szCs w:val="16"/>
        </w:rPr>
      </w:pPr>
      <w:r w:rsidRPr="00D44493">
        <w:rPr>
          <w:sz w:val="16"/>
          <w:szCs w:val="16"/>
        </w:rPr>
        <w:t>[…]</w:t>
      </w:r>
    </w:p>
    <w:p w:rsidR="00A1391B" w:rsidRPr="00D44493" w:rsidRDefault="00A1391B" w:rsidP="00A1391B">
      <w:pPr>
        <w:jc w:val="both"/>
        <w:rPr>
          <w:rFonts w:ascii="Tahoma" w:hAnsi="Tahoma" w:cs="Tahoma"/>
          <w:sz w:val="16"/>
          <w:szCs w:val="16"/>
        </w:rPr>
      </w:pPr>
      <w:r w:rsidRPr="00D44493">
        <w:rPr>
          <w:rFonts w:ascii="Tahoma" w:hAnsi="Tahoma" w:cs="Tahoma"/>
          <w:sz w:val="16"/>
          <w:szCs w:val="16"/>
        </w:rPr>
        <w:t>Se entenderá que la Buena Pro ha quedado consentida, si dentro de los ocho (8) días hábiles siguientes de la publicación en el SEACE del acata de otorgamiento de la Buena Pro, en el caso de Licitaciones Públicas y Concursos Públicos, o de cinco (5) días en el caso de Adjudicaciones Directas o Adjudicaciones de Menor Cuantía, no se ha interpuesto recurso de apelación.</w:t>
      </w:r>
    </w:p>
    <w:p w:rsidR="00A1391B" w:rsidRPr="00D44493" w:rsidRDefault="00A1391B" w:rsidP="00A1391B">
      <w:pPr>
        <w:pStyle w:val="Textonotapie"/>
        <w:rPr>
          <w:sz w:val="16"/>
          <w:szCs w:val="16"/>
        </w:rPr>
      </w:pPr>
      <w:r w:rsidRPr="00D44493">
        <w:rPr>
          <w:sz w:val="16"/>
          <w:szCs w:val="16"/>
        </w:rPr>
        <w:t>[…]</w:t>
      </w:r>
    </w:p>
    <w:p w:rsidR="00A1391B" w:rsidRDefault="00A1391B" w:rsidP="00A1391B">
      <w:pPr>
        <w:rPr>
          <w:rFonts w:ascii="Tahoma" w:hAnsi="Tahoma" w:cs="Tahoma"/>
          <w:sz w:val="18"/>
          <w:szCs w:val="18"/>
        </w:rPr>
      </w:pPr>
    </w:p>
    <w:p w:rsidR="00A1391B" w:rsidRDefault="00A1391B" w:rsidP="00A1391B"/>
  </w:footnote>
  <w:footnote w:id="5">
    <w:p w:rsidR="00A1391B" w:rsidRDefault="00A1391B" w:rsidP="00A1391B">
      <w:pPr>
        <w:pStyle w:val="Textonotapie"/>
        <w:jc w:val="left"/>
        <w:rPr>
          <w:rFonts w:cs="Times New Roman"/>
        </w:rPr>
      </w:pPr>
      <w:r>
        <w:rPr>
          <w:rStyle w:val="Refdenotaalpie"/>
          <w:rFonts w:ascii="Times New Roman" w:hAnsi="Times New Roman" w:cs="Times New Roman"/>
        </w:rPr>
        <w:footnoteRef/>
      </w:r>
      <w:r>
        <w:rPr>
          <w:rFonts w:ascii="Times New Roman" w:hAnsi="Times New Roman" w:cs="Times New Roman"/>
        </w:rPr>
        <w:t xml:space="preserve"> Dromi, Roberto.  “Licitación Pública”. Editorial Ciudad Argentina (Segunda Edición) – Gaceta Jurídica S.A. (Primera Edición) Pág. 50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0D" w:rsidRDefault="0093370D" w:rsidP="0093370D">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3370D" w:rsidRDefault="0093370D" w:rsidP="0093370D">
    <w:pPr>
      <w:pStyle w:val="Encabezado"/>
      <w:rPr>
        <w:noProof/>
      </w:rPr>
    </w:pPr>
  </w:p>
  <w:p w:rsidR="0093370D" w:rsidRDefault="0093370D" w:rsidP="0093370D">
    <w:pPr>
      <w:pStyle w:val="Encabezado"/>
      <w:jc w:val="center"/>
      <w:rPr>
        <w:rFonts w:ascii="Monotype Corsiva" w:hAnsi="Monotype Corsiva"/>
        <w:b/>
        <w:sz w:val="44"/>
        <w:szCs w:val="44"/>
      </w:rPr>
    </w:pPr>
  </w:p>
  <w:p w:rsidR="0093370D" w:rsidRDefault="0093370D" w:rsidP="0093370D">
    <w:pPr>
      <w:pStyle w:val="Encabezado"/>
      <w:jc w:val="center"/>
    </w:pPr>
    <w:r>
      <w:rPr>
        <w:rFonts w:ascii="Monotype Corsiva" w:hAnsi="Monotype Corsiva"/>
        <w:b/>
        <w:sz w:val="44"/>
        <w:szCs w:val="44"/>
      </w:rPr>
      <w:t xml:space="preserve">Resolución Nº   </w:t>
    </w:r>
    <w:r>
      <w:rPr>
        <w:rFonts w:ascii="Tahoma" w:hAnsi="Tahoma" w:cs="Tahoma"/>
        <w:b/>
        <w:sz w:val="44"/>
        <w:szCs w:val="44"/>
      </w:rPr>
      <w:t>1354-2011-TC-S1</w:t>
    </w:r>
  </w:p>
  <w:p w:rsidR="0093370D" w:rsidRDefault="0093370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38627852"/>
    <w:lvl w:ilvl="0" w:tplc="593EFBF6">
      <w:start w:val="1"/>
      <w:numFmt w:val="decimal"/>
      <w:lvlText w:val="%1."/>
      <w:lvlJc w:val="left"/>
      <w:pPr>
        <w:tabs>
          <w:tab w:val="num" w:pos="720"/>
        </w:tabs>
        <w:ind w:left="720" w:hanging="360"/>
      </w:pPr>
      <w:rPr>
        <w:rFonts w:hint="default"/>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0ED77D28"/>
    <w:multiLevelType w:val="hybridMultilevel"/>
    <w:tmpl w:val="54FEEE82"/>
    <w:lvl w:ilvl="0" w:tplc="AF34D252">
      <w:start w:val="1"/>
      <w:numFmt w:val="lowerRoman"/>
      <w:lvlText w:val="%1."/>
      <w:lvlJc w:val="left"/>
      <w:pPr>
        <w:ind w:left="144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31D60A9"/>
    <w:multiLevelType w:val="hybridMultilevel"/>
    <w:tmpl w:val="D814F66A"/>
    <w:lvl w:ilvl="0" w:tplc="AAC2829A">
      <w:start w:val="1"/>
      <w:numFmt w:val="decimal"/>
      <w:lvlText w:val="%1."/>
      <w:lvlJc w:val="left"/>
      <w:pPr>
        <w:tabs>
          <w:tab w:val="num" w:pos="720"/>
        </w:tabs>
        <w:ind w:left="720" w:hanging="360"/>
      </w:pPr>
      <w:rPr>
        <w:b/>
        <w:bCs/>
      </w:rPr>
    </w:lvl>
    <w:lvl w:ilvl="1" w:tplc="64268118">
      <w:start w:val="1"/>
      <w:numFmt w:val="bullet"/>
      <w:lvlText w:val=""/>
      <w:lvlJc w:val="left"/>
      <w:pPr>
        <w:tabs>
          <w:tab w:val="num" w:pos="1440"/>
        </w:tabs>
        <w:ind w:left="1440"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A654C9E"/>
    <w:multiLevelType w:val="hybridMultilevel"/>
    <w:tmpl w:val="6FD22EF2"/>
    <w:lvl w:ilvl="0" w:tplc="7C06881E">
      <w:start w:val="1"/>
      <w:numFmt w:val="decimal"/>
      <w:lvlText w:val="%1."/>
      <w:lvlJc w:val="left"/>
      <w:pPr>
        <w:tabs>
          <w:tab w:val="num" w:pos="360"/>
        </w:tabs>
        <w:ind w:left="360" w:hanging="360"/>
      </w:pPr>
      <w:rPr>
        <w:rFonts w:ascii="Tahoma" w:hAnsi="Tahoma" w:cs="Times New Roman" w:hint="default"/>
        <w:b/>
        <w:i w:val="0"/>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2ACB5A53"/>
    <w:multiLevelType w:val="hybridMultilevel"/>
    <w:tmpl w:val="AF62DEE2"/>
    <w:lvl w:ilvl="0" w:tplc="FFBC78EC">
      <w:start w:val="1"/>
      <w:numFmt w:val="lowerRoman"/>
      <w:lvlText w:val="%1."/>
      <w:lvlJc w:val="left"/>
      <w:pPr>
        <w:ind w:left="1440" w:hanging="360"/>
      </w:pPr>
      <w:rPr>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326E7289"/>
    <w:multiLevelType w:val="hybridMultilevel"/>
    <w:tmpl w:val="B42A4180"/>
    <w:lvl w:ilvl="0" w:tplc="46D6DF64">
      <w:start w:val="2"/>
      <w:numFmt w:val="decimal"/>
      <w:lvlText w:val="%1."/>
      <w:lvlJc w:val="left"/>
      <w:pPr>
        <w:tabs>
          <w:tab w:val="num" w:pos="360"/>
        </w:tabs>
        <w:ind w:left="360" w:hanging="360"/>
      </w:pPr>
      <w:rPr>
        <w:rFonts w:hint="default"/>
        <w:b/>
        <w:bCs/>
        <w:i w:val="0"/>
        <w:iCs w:val="0"/>
        <w:sz w:val="20"/>
        <w:szCs w:val="20"/>
      </w:rPr>
    </w:lvl>
    <w:lvl w:ilvl="1" w:tplc="280A0019">
      <w:start w:val="1"/>
      <w:numFmt w:val="lowerLetter"/>
      <w:lvlText w:val="%2."/>
      <w:lvlJc w:val="left"/>
      <w:pPr>
        <w:tabs>
          <w:tab w:val="num" w:pos="1440"/>
        </w:tabs>
        <w:ind w:left="1440" w:hanging="360"/>
      </w:pPr>
    </w:lvl>
    <w:lvl w:ilvl="2" w:tplc="280A001B">
      <w:start w:val="1"/>
      <w:numFmt w:val="lowerRoman"/>
      <w:lvlText w:val="%3."/>
      <w:lvlJc w:val="right"/>
      <w:pPr>
        <w:tabs>
          <w:tab w:val="num" w:pos="2160"/>
        </w:tabs>
        <w:ind w:left="2160" w:hanging="180"/>
      </w:pPr>
    </w:lvl>
    <w:lvl w:ilvl="3" w:tplc="280A000F">
      <w:start w:val="1"/>
      <w:numFmt w:val="decimal"/>
      <w:lvlText w:val="%4."/>
      <w:lvlJc w:val="left"/>
      <w:pPr>
        <w:tabs>
          <w:tab w:val="num" w:pos="2880"/>
        </w:tabs>
        <w:ind w:left="2880" w:hanging="360"/>
      </w:pPr>
    </w:lvl>
    <w:lvl w:ilvl="4" w:tplc="280A0019">
      <w:start w:val="1"/>
      <w:numFmt w:val="lowerLetter"/>
      <w:lvlText w:val="%5."/>
      <w:lvlJc w:val="left"/>
      <w:pPr>
        <w:tabs>
          <w:tab w:val="num" w:pos="3600"/>
        </w:tabs>
        <w:ind w:left="3600" w:hanging="360"/>
      </w:pPr>
    </w:lvl>
    <w:lvl w:ilvl="5" w:tplc="280A001B">
      <w:start w:val="1"/>
      <w:numFmt w:val="lowerRoman"/>
      <w:lvlText w:val="%6."/>
      <w:lvlJc w:val="right"/>
      <w:pPr>
        <w:tabs>
          <w:tab w:val="num" w:pos="4320"/>
        </w:tabs>
        <w:ind w:left="4320" w:hanging="180"/>
      </w:pPr>
    </w:lvl>
    <w:lvl w:ilvl="6" w:tplc="280A000F">
      <w:start w:val="1"/>
      <w:numFmt w:val="decimal"/>
      <w:lvlText w:val="%7."/>
      <w:lvlJc w:val="left"/>
      <w:pPr>
        <w:tabs>
          <w:tab w:val="num" w:pos="5040"/>
        </w:tabs>
        <w:ind w:left="5040" w:hanging="360"/>
      </w:pPr>
    </w:lvl>
    <w:lvl w:ilvl="7" w:tplc="280A0019">
      <w:start w:val="1"/>
      <w:numFmt w:val="lowerLetter"/>
      <w:lvlText w:val="%8."/>
      <w:lvlJc w:val="left"/>
      <w:pPr>
        <w:tabs>
          <w:tab w:val="num" w:pos="5760"/>
        </w:tabs>
        <w:ind w:left="5760" w:hanging="360"/>
      </w:pPr>
    </w:lvl>
    <w:lvl w:ilvl="8" w:tplc="280A001B">
      <w:start w:val="1"/>
      <w:numFmt w:val="lowerRoman"/>
      <w:lvlText w:val="%9."/>
      <w:lvlJc w:val="right"/>
      <w:pPr>
        <w:tabs>
          <w:tab w:val="num" w:pos="6480"/>
        </w:tabs>
        <w:ind w:left="6480" w:hanging="180"/>
      </w:pPr>
    </w:lvl>
  </w:abstractNum>
  <w:abstractNum w:abstractNumId="6">
    <w:nsid w:val="44E304A2"/>
    <w:multiLevelType w:val="hybridMultilevel"/>
    <w:tmpl w:val="4DE0E328"/>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48BF15A3"/>
    <w:multiLevelType w:val="hybridMultilevel"/>
    <w:tmpl w:val="9F366858"/>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4C577034"/>
    <w:multiLevelType w:val="hybridMultilevel"/>
    <w:tmpl w:val="932EE94E"/>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9">
    <w:nsid w:val="51B8397D"/>
    <w:multiLevelType w:val="hybridMultilevel"/>
    <w:tmpl w:val="97506A68"/>
    <w:lvl w:ilvl="0" w:tplc="6FB00CFE">
      <w:start w:val="1"/>
      <w:numFmt w:val="lowerRoman"/>
      <w:lvlText w:val="%1)"/>
      <w:lvlJc w:val="left"/>
      <w:pPr>
        <w:tabs>
          <w:tab w:val="num" w:pos="1080"/>
        </w:tabs>
        <w:ind w:left="1080" w:hanging="720"/>
      </w:pPr>
    </w:lvl>
    <w:lvl w:ilvl="1" w:tplc="98DEFD7C">
      <w:start w:val="1"/>
      <w:numFmt w:val="decimal"/>
      <w:lvlText w:val="%2."/>
      <w:lvlJc w:val="left"/>
      <w:pPr>
        <w:tabs>
          <w:tab w:val="num" w:pos="1080"/>
        </w:tabs>
        <w:ind w:left="1080" w:hanging="360"/>
      </w:pPr>
      <w:rPr>
        <w:b/>
        <w:bCs/>
        <w:i w:val="0"/>
        <w:iCs w:val="0"/>
        <w:sz w:val="20"/>
        <w:szCs w:val="20"/>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678235A8"/>
    <w:multiLevelType w:val="hybridMultilevel"/>
    <w:tmpl w:val="63CE349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nsid w:val="6ABA2C4B"/>
    <w:multiLevelType w:val="hybridMultilevel"/>
    <w:tmpl w:val="3FD8AC9A"/>
    <w:lvl w:ilvl="0" w:tplc="9740E6EA">
      <w:start w:val="51"/>
      <w:numFmt w:val="decimal"/>
      <w:lvlText w:val="%1."/>
      <w:lvlJc w:val="left"/>
      <w:pPr>
        <w:ind w:left="502" w:hanging="360"/>
      </w:pPr>
      <w:rPr>
        <w:rFonts w:hint="default"/>
      </w:rPr>
    </w:lvl>
    <w:lvl w:ilvl="1" w:tplc="0C0A0019">
      <w:start w:val="1"/>
      <w:numFmt w:val="lowerLetter"/>
      <w:lvlText w:val="%2."/>
      <w:lvlJc w:val="left"/>
      <w:pPr>
        <w:ind w:left="1222" w:hanging="360"/>
      </w:pPr>
    </w:lvl>
    <w:lvl w:ilvl="2" w:tplc="0C0A001B">
      <w:start w:val="1"/>
      <w:numFmt w:val="lowerRoman"/>
      <w:lvlText w:val="%3."/>
      <w:lvlJc w:val="right"/>
      <w:pPr>
        <w:ind w:left="1942" w:hanging="180"/>
      </w:pPr>
    </w:lvl>
    <w:lvl w:ilvl="3" w:tplc="0C0A000F">
      <w:start w:val="1"/>
      <w:numFmt w:val="decimal"/>
      <w:lvlText w:val="%4."/>
      <w:lvlJc w:val="left"/>
      <w:pPr>
        <w:ind w:left="2662" w:hanging="360"/>
      </w:pPr>
    </w:lvl>
    <w:lvl w:ilvl="4" w:tplc="0C0A0019">
      <w:start w:val="1"/>
      <w:numFmt w:val="lowerLetter"/>
      <w:lvlText w:val="%5."/>
      <w:lvlJc w:val="left"/>
      <w:pPr>
        <w:ind w:left="3382" w:hanging="360"/>
      </w:pPr>
    </w:lvl>
    <w:lvl w:ilvl="5" w:tplc="0C0A001B">
      <w:start w:val="1"/>
      <w:numFmt w:val="lowerRoman"/>
      <w:lvlText w:val="%6."/>
      <w:lvlJc w:val="right"/>
      <w:pPr>
        <w:ind w:left="4102" w:hanging="180"/>
      </w:pPr>
    </w:lvl>
    <w:lvl w:ilvl="6" w:tplc="0C0A000F">
      <w:start w:val="1"/>
      <w:numFmt w:val="decimal"/>
      <w:lvlText w:val="%7."/>
      <w:lvlJc w:val="left"/>
      <w:pPr>
        <w:ind w:left="4822" w:hanging="360"/>
      </w:pPr>
    </w:lvl>
    <w:lvl w:ilvl="7" w:tplc="0C0A0019">
      <w:start w:val="1"/>
      <w:numFmt w:val="lowerLetter"/>
      <w:lvlText w:val="%8."/>
      <w:lvlJc w:val="left"/>
      <w:pPr>
        <w:ind w:left="5542" w:hanging="360"/>
      </w:pPr>
    </w:lvl>
    <w:lvl w:ilvl="8" w:tplc="0C0A001B">
      <w:start w:val="1"/>
      <w:numFmt w:val="lowerRoman"/>
      <w:lvlText w:val="%9."/>
      <w:lvlJc w:val="right"/>
      <w:pPr>
        <w:ind w:left="6262"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A1391B"/>
    <w:rsid w:val="001804AB"/>
    <w:rsid w:val="004B741E"/>
    <w:rsid w:val="0066645E"/>
    <w:rsid w:val="006A7198"/>
    <w:rsid w:val="00892AC2"/>
    <w:rsid w:val="0093370D"/>
    <w:rsid w:val="009362AB"/>
    <w:rsid w:val="0096071E"/>
    <w:rsid w:val="00A1391B"/>
    <w:rsid w:val="00D44493"/>
    <w:rsid w:val="00E87CC8"/>
    <w:rsid w:val="00FF0AF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91B"/>
    <w:rPr>
      <w:rFonts w:ascii="Calibri" w:eastAsia="Calibri" w:hAnsi="Calibri" w:cs="Times New Roman"/>
    </w:rPr>
  </w:style>
  <w:style w:type="paragraph" w:styleId="Ttulo2">
    <w:name w:val="heading 2"/>
    <w:basedOn w:val="Normal"/>
    <w:next w:val="Normal"/>
    <w:link w:val="Ttulo2Car"/>
    <w:qFormat/>
    <w:rsid w:val="00A1391B"/>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A1391B"/>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1391B"/>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A1391B"/>
    <w:rPr>
      <w:rFonts w:ascii="Arial" w:eastAsia="Calibri" w:hAnsi="Arial" w:cs="Arial"/>
      <w:b/>
      <w:bCs/>
      <w:sz w:val="26"/>
      <w:szCs w:val="26"/>
    </w:rPr>
  </w:style>
  <w:style w:type="paragraph" w:styleId="Textoindependiente3">
    <w:name w:val="Body Text 3"/>
    <w:basedOn w:val="Normal"/>
    <w:link w:val="Textoindependiente3Car"/>
    <w:semiHidden/>
    <w:unhideWhenUsed/>
    <w:rsid w:val="00A1391B"/>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A1391B"/>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A1391B"/>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A1391B"/>
    <w:pPr>
      <w:tabs>
        <w:tab w:val="center" w:pos="4252"/>
        <w:tab w:val="right" w:pos="8504"/>
      </w:tabs>
    </w:pPr>
  </w:style>
  <w:style w:type="character" w:customStyle="1" w:styleId="PiedepginaCar">
    <w:name w:val="Pie de página Car"/>
    <w:basedOn w:val="Fuentedeprrafopredeter"/>
    <w:link w:val="Piedepgina"/>
    <w:uiPriority w:val="99"/>
    <w:rsid w:val="00A1391B"/>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A1391B"/>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A1391B"/>
    <w:rPr>
      <w:rFonts w:ascii="Tahoma" w:eastAsia="Calibri" w:hAnsi="Tahoma" w:cs="Tahoma"/>
      <w:sz w:val="20"/>
      <w:szCs w:val="20"/>
    </w:rPr>
  </w:style>
  <w:style w:type="character" w:styleId="Refdenotaalpie">
    <w:name w:val="footnote reference"/>
    <w:basedOn w:val="Fuentedeprrafopredeter"/>
    <w:uiPriority w:val="99"/>
    <w:rsid w:val="00A1391B"/>
    <w:rPr>
      <w:vertAlign w:val="superscript"/>
    </w:rPr>
  </w:style>
  <w:style w:type="paragraph" w:styleId="Textoindependiente">
    <w:name w:val="Body Text"/>
    <w:basedOn w:val="Normal"/>
    <w:link w:val="TextoindependienteCar"/>
    <w:uiPriority w:val="99"/>
    <w:unhideWhenUsed/>
    <w:rsid w:val="00A1391B"/>
    <w:pPr>
      <w:spacing w:after="120"/>
    </w:pPr>
  </w:style>
  <w:style w:type="character" w:customStyle="1" w:styleId="TextoindependienteCar">
    <w:name w:val="Texto independiente Car"/>
    <w:basedOn w:val="Fuentedeprrafopredeter"/>
    <w:link w:val="Textoindependiente"/>
    <w:uiPriority w:val="99"/>
    <w:rsid w:val="00A1391B"/>
    <w:rPr>
      <w:rFonts w:ascii="Calibri" w:eastAsia="Calibri" w:hAnsi="Calibri" w:cs="Times New Roman"/>
    </w:rPr>
  </w:style>
  <w:style w:type="paragraph" w:styleId="NormalWeb">
    <w:name w:val="Normal (Web)"/>
    <w:basedOn w:val="Normal"/>
    <w:uiPriority w:val="99"/>
    <w:rsid w:val="00A1391B"/>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rsid w:val="00A1391B"/>
    <w:pPr>
      <w:spacing w:after="0" w:line="240" w:lineRule="auto"/>
      <w:ind w:left="708"/>
      <w:jc w:val="both"/>
    </w:pPr>
    <w:rPr>
      <w:rFonts w:ascii="Tahoma" w:hAnsi="Tahoma" w:cs="Tahoma"/>
    </w:rPr>
  </w:style>
  <w:style w:type="paragraph" w:styleId="Encabezado">
    <w:name w:val="header"/>
    <w:aliases w:val="maria,h"/>
    <w:basedOn w:val="Normal"/>
    <w:link w:val="EncabezadoCar"/>
    <w:uiPriority w:val="99"/>
    <w:semiHidden/>
    <w:unhideWhenUsed/>
    <w:rsid w:val="0093370D"/>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93370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40241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2838</Words>
  <Characters>15614</Characters>
  <Application>Microsoft Office Word</Application>
  <DocSecurity>0</DocSecurity>
  <Lines>130</Lines>
  <Paragraphs>36</Paragraphs>
  <ScaleCrop>false</ScaleCrop>
  <Company/>
  <LinksUpToDate>false</LinksUpToDate>
  <CharactersWithSpaces>18416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2011-08-10T17:04:00Z</cp:lastPrinted>
  <dcterms:created xsi:type="dcterms:W3CDTF">2011-08-08T22:13:00Z</dcterms:created>
  <dcterms:modified xsi:type="dcterms:W3CDTF">2011-09-09T21:52:00Z</dcterms:modified>
</cp:coreProperties>
</file>